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312076</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impacts on PRS/SRS bandwidth aggregation</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8.22.3.5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 xml:space="preserve">The Rel-18 </w:t>
      </w:r>
      <w:r>
        <w:rPr>
          <w:rFonts w:hint="eastAsia" w:eastAsia="宋体"/>
          <w:lang w:val="en-US" w:eastAsia="zh-CN"/>
        </w:rPr>
        <w:t>WID</w:t>
      </w:r>
      <w:r>
        <w:t xml:space="preserve"> [1] investigates positioning accuracy enhancement with advanced techniques of </w:t>
      </w:r>
      <w:r>
        <w:rPr>
          <w:highlight w:val="none"/>
        </w:rPr>
        <w:t>bandwidth aggregation</w:t>
      </w:r>
      <w:r>
        <w:rPr>
          <w:rFonts w:hint="eastAsia" w:eastAsia="宋体"/>
          <w:highlight w:val="none"/>
          <w:lang w:val="en-US" w:eastAsia="zh-CN"/>
        </w:rPr>
        <w:t xml:space="preserve"> . </w:t>
      </w:r>
      <w:r>
        <w:t>RAN4 has been assigned the</w:t>
      </w:r>
      <w:r>
        <w:rPr>
          <w:rFonts w:hint="eastAsia" w:eastAsia="宋体"/>
          <w:lang w:val="en-US" w:eastAsia="zh-CN"/>
        </w:rPr>
        <w:t xml:space="preserve"> </w:t>
      </w:r>
      <w:r>
        <w:t>following objective</w:t>
      </w:r>
      <w:r>
        <w:rPr>
          <w:rFonts w:hint="eastAsia" w:eastAsia="宋体"/>
          <w:lang w:val="en-US" w:eastAsia="zh-CN"/>
        </w:rPr>
        <w:t>s</w:t>
      </w:r>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line="276" w:lineRule="auto"/>
              <w:textAlignment w:val="auto"/>
              <w:rPr>
                <w:rFonts w:eastAsia="MS Mincho"/>
                <w:highlight w:val="yellow"/>
                <w:lang w:val="en-US" w:eastAsia="ko-KR"/>
              </w:rPr>
            </w:pPr>
            <w:r>
              <w:rPr>
                <w:rFonts w:eastAsia="MS Mincho"/>
                <w:highlight w:val="yellow"/>
                <w:lang w:val="en-US" w:eastAsia="ko-KR"/>
              </w:rPr>
              <w:t>Specify bandwidth aggregation for positioning measurements across up to</w:t>
            </w:r>
            <w:r>
              <w:rPr>
                <w:rFonts w:eastAsia="MS Mincho"/>
                <w:b/>
                <w:bCs/>
                <w:highlight w:val="yellow"/>
                <w:lang w:val="en-US" w:eastAsia="ko-KR"/>
              </w:rPr>
              <w:t xml:space="preserve"> three intra-band contiguous carriers</w:t>
            </w:r>
            <w:r>
              <w:rPr>
                <w:rFonts w:eastAsia="MS Mincho"/>
                <w:highlight w:val="yellow"/>
                <w:lang w:val="en-US" w:eastAsia="ko-KR"/>
              </w:rPr>
              <w:t xml:space="preserve"> [RAN1, RAN2, RAN4].</w:t>
            </w:r>
          </w:p>
          <w:p>
            <w:pPr>
              <w:numPr>
                <w:ilvl w:val="1"/>
                <w:numId w:val="3"/>
              </w:numPr>
              <w:overflowPunct/>
              <w:autoSpaceDE/>
              <w:autoSpaceDN/>
              <w:adjustRightInd/>
              <w:spacing w:after="0" w:line="276" w:lineRule="auto"/>
              <w:textAlignment w:val="auto"/>
              <w:rPr>
                <w:lang w:val="en-US" w:eastAsia="ko-KR"/>
              </w:rPr>
            </w:pPr>
            <w:r>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3"/>
              </w:numPr>
              <w:overflowPunct/>
              <w:autoSpaceDE/>
              <w:autoSpaceDN/>
              <w:adjustRightInd/>
              <w:spacing w:after="0" w:line="276" w:lineRule="auto"/>
              <w:textAlignment w:val="auto"/>
              <w:rPr>
                <w:lang w:val="en-US" w:eastAsia="ko-KR"/>
              </w:rPr>
            </w:pPr>
            <w:r>
              <w:rPr>
                <w:lang w:val="en-US" w:eastAsia="ko-KR"/>
              </w:rPr>
              <w:t>NOTE: The support of bandwidth aggregation for positioning measurements applies only to timing related measurements (e.g., RSTD, RTOA, and UE/gNB Rx-Tx time difference).</w:t>
            </w:r>
          </w:p>
          <w:p>
            <w:pPr>
              <w:pStyle w:val="70"/>
              <w:numPr>
                <w:ilvl w:val="1"/>
                <w:numId w:val="3"/>
              </w:numPr>
              <w:rPr>
                <w:b/>
                <w:bCs/>
              </w:rPr>
            </w:pPr>
            <w:r>
              <w:rPr>
                <w:highlight w:val="yellow"/>
                <w:lang w:val="en-US" w:eastAsia="ko-KR"/>
              </w:rPr>
              <w:t>Specify RRM requirements</w:t>
            </w:r>
            <w:r>
              <w:rPr>
                <w:b w:val="0"/>
                <w:bCs w:val="0"/>
                <w:highlight w:val="yellow"/>
                <w:lang w:val="en-US" w:eastAsia="ko-KR"/>
              </w:rPr>
              <w:t xml:space="preserve"> with measurement gaps</w:t>
            </w:r>
            <w:r>
              <w:rPr>
                <w:highlight w:val="yellow"/>
                <w:lang w:val="en-US" w:eastAsia="ko-KR"/>
              </w:rPr>
              <w:t xml:space="preserve"> in connected mode, and in inactive mode, including PRS measurement period/reporting [RAN4].</w:t>
            </w:r>
          </w:p>
        </w:tc>
      </w:tr>
    </w:tbl>
    <w:p>
      <w:pPr>
        <w:spacing w:after="0"/>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rPr>
      </w:pPr>
      <w:r>
        <w:rPr>
          <w:rFonts w:hint="eastAsia" w:eastAsia="宋体"/>
          <w:lang w:val="en-US" w:eastAsia="zh-CN"/>
        </w:rPr>
        <w:t>At RAN4 #107, we mainly discussed the bandwidth aggregation for positioning measurements across up to three intra-band contiguous carriers, especially the RRM requirements with measurement gaps in connected mode, and in inactive mode, including PRS measurement period/reporting and another general issues.</w:t>
      </w:r>
    </w:p>
    <w:p>
      <w:pPr>
        <w:pStyle w:val="74"/>
        <w:rPr>
          <w:lang w:val="en-US"/>
        </w:rPr>
      </w:pPr>
      <w:r>
        <w:rPr>
          <w:lang w:val="en-US"/>
        </w:rPr>
        <w:t>Discussion</w:t>
      </w:r>
    </w:p>
    <w:p>
      <w:pPr>
        <w:pStyle w:val="3"/>
        <w:bidi w:val="0"/>
        <w:rPr>
          <w:rFonts w:hint="default"/>
          <w:sz w:val="28"/>
          <w:szCs w:val="18"/>
          <w:lang w:val="en-US" w:eastAsia="zh-CN"/>
        </w:rPr>
      </w:pPr>
      <w:r>
        <w:rPr>
          <w:rFonts w:hint="eastAsia"/>
          <w:sz w:val="28"/>
          <w:szCs w:val="18"/>
          <w:lang w:val="en-US" w:eastAsia="zh-CN"/>
        </w:rPr>
        <w:t>2.1 Bandwidth aggregation for positioning measurements</w:t>
      </w:r>
    </w:p>
    <w:p>
      <w:pPr>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eastAsia="宋体"/>
          <w:lang w:val="en-US" w:eastAsia="zh-CN"/>
        </w:rPr>
      </w:pPr>
      <w:r>
        <w:rPr>
          <w:rFonts w:hint="eastAsia" w:eastAsia="宋体"/>
          <w:lang w:val="en-US" w:eastAsia="zh-CN"/>
        </w:rPr>
        <w:t>Firstly, we do the illustration on carrier aggregation (CA) as below:</w:t>
      </w:r>
    </w:p>
    <w:p>
      <w:pPr>
        <w:jc w:val="center"/>
        <w:rPr>
          <w:rFonts w:hint="default" w:eastAsia="宋体"/>
          <w:lang w:val="en-US" w:eastAsia="zh-CN"/>
        </w:rPr>
      </w:pPr>
      <w:r>
        <w:rPr>
          <w:rFonts w:hint="default" w:eastAsia="宋体"/>
          <w:lang w:val="en-US" w:eastAsia="zh-CN"/>
        </w:rPr>
        <w:drawing>
          <wp:inline distT="0" distB="0" distL="114300" distR="114300">
            <wp:extent cx="4147820" cy="1814830"/>
            <wp:effectExtent l="0" t="0" r="0" b="0"/>
            <wp:docPr id="3" name="图片 3" descr="C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_3"/>
                    <pic:cNvPicPr>
                      <a:picLocks noChangeAspect="1"/>
                    </pic:cNvPicPr>
                  </pic:nvPicPr>
                  <pic:blipFill>
                    <a:blip r:embed="rId6"/>
                    <a:stretch>
                      <a:fillRect/>
                    </a:stretch>
                  </pic:blipFill>
                  <pic:spPr>
                    <a:xfrm>
                      <a:off x="0" y="0"/>
                      <a:ext cx="4147820" cy="1814830"/>
                    </a:xfrm>
                    <a:prstGeom prst="rect">
                      <a:avLst/>
                    </a:prstGeom>
                  </pic:spPr>
                </pic:pic>
              </a:graphicData>
            </a:graphic>
          </wp:inline>
        </w:drawing>
      </w:r>
    </w:p>
    <w:p>
      <w:pPr>
        <w:jc w:val="center"/>
        <w:rPr>
          <w:rFonts w:hint="eastAsia" w:eastAsia="宋体"/>
          <w:lang w:val="en-US" w:eastAsia="zh-CN"/>
        </w:rPr>
      </w:pPr>
      <w:r>
        <w:rPr>
          <w:rFonts w:hint="eastAsia" w:eastAsia="宋体"/>
          <w:lang w:val="en-US" w:eastAsia="zh-CN"/>
        </w:rPr>
        <w:t>Figure 1  PRS bandwidth aggregation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hint="eastAsia" w:eastAsia="宋体"/>
          <w:lang w:val="en-US" w:eastAsia="zh-CN"/>
        </w:rPr>
        <w:t xml:space="preserve">As shown in figure1, i.e. we have three component carriers (CCs), the CC1 is 5M and the rest of CCs are 10M. For multi-carrier positioning measurement, we aggregate three CCs into </w:t>
      </w:r>
      <w:r>
        <w:rPr>
          <w:rFonts w:hint="default" w:eastAsia="宋体"/>
          <w:lang w:val="en-US" w:eastAsia="zh-CN"/>
        </w:rPr>
        <w:t>“</w:t>
      </w:r>
      <w:r>
        <w:rPr>
          <w:rFonts w:hint="eastAsia" w:eastAsia="宋体"/>
          <w:lang w:val="en-US" w:eastAsia="zh-CN"/>
        </w:rPr>
        <w:t>one</w:t>
      </w:r>
      <w:r>
        <w:rPr>
          <w:rFonts w:hint="default" w:eastAsia="宋体"/>
          <w:lang w:val="en-US" w:eastAsia="zh-CN"/>
        </w:rPr>
        <w:t>”</w:t>
      </w:r>
      <w:r>
        <w:rPr>
          <w:rFonts w:hint="eastAsia" w:eastAsia="宋体"/>
          <w:lang w:val="en-US" w:eastAsia="zh-CN"/>
        </w:rPr>
        <w:t xml:space="preserve"> carrier, it equals the transmitted channel is 25M. And then we have the wider transmitted channel to transmit the signals simultaneously. And we also do the illustration on the DL positioning procedure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4663440" cy="2953385"/>
            <wp:effectExtent l="0" t="0" r="0" b="3175"/>
            <wp:docPr id="1" name="图片 1" descr="绘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3"/>
                    <pic:cNvPicPr>
                      <a:picLocks noChangeAspect="1"/>
                    </pic:cNvPicPr>
                  </pic:nvPicPr>
                  <pic:blipFill>
                    <a:blip r:embed="rId7"/>
                    <a:stretch>
                      <a:fillRect/>
                    </a:stretch>
                  </pic:blipFill>
                  <pic:spPr>
                    <a:xfrm>
                      <a:off x="0" y="0"/>
                      <a:ext cx="4663440" cy="2953385"/>
                    </a:xfrm>
                    <a:prstGeom prst="rect">
                      <a:avLst/>
                    </a:prstGeom>
                  </pic:spPr>
                </pic:pic>
              </a:graphicData>
            </a:graphic>
          </wp:inline>
        </w:drawing>
      </w:r>
    </w:p>
    <w:p>
      <w:pPr>
        <w:jc w:val="center"/>
        <w:rPr>
          <w:rFonts w:hint="default" w:eastAsia="宋体"/>
          <w:lang w:val="en-US" w:eastAsia="zh-CN"/>
        </w:rPr>
      </w:pPr>
      <w:r>
        <w:rPr>
          <w:rFonts w:hint="eastAsia" w:eastAsia="宋体"/>
          <w:lang w:val="en-US" w:eastAsia="zh-CN"/>
        </w:rPr>
        <w:t>Figure 2  DL positioning procedure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lang w:val="en-US" w:eastAsia="zh-CN"/>
        </w:rPr>
      </w:pPr>
      <w:r>
        <w:rPr>
          <w:rFonts w:hint="eastAsia" w:eastAsia="宋体"/>
          <w:lang w:val="en-US" w:eastAsia="zh-CN"/>
        </w:rPr>
        <w:t>What we want to express is that UE measures DL-PRS with different methods, such as RSRP, RSTD or other values in step 3. The UE will receive the assistance data and start the measurement, i.g. RSTD measurement, the measurement period shall be considered and obviously we will provide our suggestions for this point.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lang w:val="en-US" w:eastAsia="zh-CN"/>
        </w:rPr>
      </w:pPr>
      <w:r>
        <w:rPr>
          <w:rFonts w:hint="eastAsia" w:eastAsia="宋体"/>
          <w:lang w:val="en-US" w:eastAsia="zh-CN"/>
        </w:rPr>
        <w:t>In the last meeting, we have reached several agreements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857" w:type="dxa"/>
          </w:tcPr>
          <w:p>
            <w:pPr>
              <w:spacing w:before="120" w:after="0"/>
              <w:rPr>
                <w:b/>
                <w:bCs/>
                <w:sz w:val="22"/>
                <w:szCs w:val="22"/>
                <w:u w:val="single"/>
              </w:rPr>
            </w:pPr>
            <w:r>
              <w:rPr>
                <w:b/>
                <w:bCs/>
                <w:sz w:val="22"/>
                <w:szCs w:val="22"/>
                <w:u w:val="single"/>
              </w:rPr>
              <w:t>Issue 3-1-1: Applicable RRC states:</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numPr>
                <w:ilvl w:val="0"/>
                <w:numId w:val="4"/>
              </w:numPr>
              <w:spacing w:after="120" w:line="252" w:lineRule="auto"/>
              <w:rPr>
                <w:szCs w:val="24"/>
                <w:lang w:val="en-US" w:eastAsia="ja-JP"/>
              </w:rPr>
            </w:pPr>
            <w:r>
              <w:rPr>
                <w:szCs w:val="24"/>
                <w:lang w:val="en-US" w:eastAsia="ja-JP"/>
              </w:rPr>
              <w:t>RAN4 to not define requirements for PRS bandwidth aggregation outside of the MG in RRC_CONNECTED state.</w:t>
            </w:r>
          </w:p>
          <w:p>
            <w:pPr>
              <w:spacing w:before="120" w:after="0"/>
              <w:rPr>
                <w:b/>
                <w:bCs/>
                <w:sz w:val="22"/>
                <w:szCs w:val="22"/>
                <w:highlight w:val="none"/>
                <w:u w:val="single"/>
              </w:rPr>
            </w:pPr>
            <w:r>
              <w:rPr>
                <w:b/>
                <w:bCs/>
                <w:sz w:val="22"/>
                <w:szCs w:val="22"/>
                <w:highlight w:val="none"/>
                <w:u w:val="single"/>
              </w:rPr>
              <w:t>Issue 3-1-2: Applicable bandwidth</w:t>
            </w:r>
          </w:p>
          <w:p>
            <w:pPr>
              <w:spacing w:before="120"/>
              <w:rPr>
                <w:rFonts w:eastAsiaTheme="minorEastAsia"/>
                <w:i/>
                <w:sz w:val="22"/>
                <w:szCs w:val="22"/>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numPr>
                <w:ilvl w:val="0"/>
                <w:numId w:val="5"/>
              </w:numPr>
              <w:overflowPunct w:val="0"/>
              <w:autoSpaceDE w:val="0"/>
              <w:autoSpaceDN w:val="0"/>
              <w:adjustRightInd w:val="0"/>
              <w:spacing w:after="120"/>
              <w:ind w:left="936" w:firstLine="0"/>
              <w:textAlignment w:val="baseline"/>
              <w:rPr>
                <w:rFonts w:hint="default" w:ascii="Times New Roman" w:hAnsi="Times New Roman"/>
                <w:sz w:val="20"/>
                <w:szCs w:val="24"/>
                <w:lang w:val="en-US" w:eastAsia="zh-CN"/>
              </w:rPr>
            </w:pPr>
            <w:r>
              <w:rPr>
                <w:szCs w:val="24"/>
                <w:lang w:eastAsia="zh-CN"/>
              </w:rPr>
              <w:t>RAN4 to wait on further RAN1 agreements related to maximum total aggregated bandwidth for PRS/SRS and on equal/unequal bandwidths of aggregated PFLs.</w:t>
            </w:r>
          </w:p>
          <w:p>
            <w:pPr>
              <w:numPr>
                <w:ilvl w:val="0"/>
                <w:numId w:val="0"/>
              </w:numPr>
              <w:overflowPunct w:val="0"/>
              <w:autoSpaceDE w:val="0"/>
              <w:autoSpaceDN w:val="0"/>
              <w:adjustRightInd w:val="0"/>
              <w:spacing w:after="120"/>
              <w:ind w:left="936" w:leftChars="0"/>
              <w:textAlignment w:val="baseline"/>
              <w:rPr>
                <w:rFonts w:hint="default" w:ascii="Times New Roman" w:hAnsi="Times New Roman"/>
                <w:sz w:val="20"/>
                <w:szCs w:val="24"/>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In several previous meetings, RAN4 has already discussed the applicable RRC states that define the core requirements for PRS BW aggregation in both RRC_CONNECTED (within the MG) and RRC_INACTIVE states and also according to [1],  it is not necessary to define requirements for RRC_IDLE state. And we also talked about the applicable bandwidth, to our mind the maximum PRS bandwidth of 100MHz for FR1 and 400MHz for FR2 for single PFL. With PRS/SRS CA across up to 3 PFLs, the maximum BW for a single TOA estimate can be up to 300MHz for FR1 and 1200MHz for FR2 which are the ideal situation without considering some potential factors influenced the maximum PRS bandwidth which needs RAN1 to consider.  However, on the basis of the current RAN1 #113 meeting agreements, RAN4 has no idea to do the analysis in current stage, so RAN4 shall continue to wait on further RAN1 agreements related to maximum total aggregated bandwidth for PRS/SRS and on equal/unequal bandwidths of aggregated PFLs.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Proposal 1:  RAN4 shall continue to wait on further RAN1 agreements related to maximum total aggregated bandwidth for PRS/SRS and on equal/unequal bandwidths of aggregated PFLs</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RAN1 had several agreements in the two latest meetings, more PRS transmission parameters were discussed (E.g. also propose the same number of PRS resource sets, the same number of PRS resources, the same gNB Tx TEG, the same UE Rx TEG, the same QCL type, the power consistency, and the same value of NR-DL-PRS-SFN0-Offset across the aggregated PFLs, the same periodicity and slot offset, the same muting pattern).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b/>
          <w:bCs/>
          <w:sz w:val="22"/>
          <w:szCs w:val="22"/>
          <w:lang w:val="en-US" w:eastAsia="zh-CN"/>
        </w:rPr>
        <w:t>RAN1 113 and 112bis-e meeting agreements</w:t>
      </w:r>
      <w:r>
        <w:rPr>
          <w:rFonts w:hint="eastAsia"/>
          <w:sz w:val="22"/>
          <w:szCs w:val="22"/>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lang w:val="en-US" w:eastAsia="zh-CN"/>
              </w:rPr>
            </w:pPr>
            <w:r>
              <w:rPr>
                <w:rFonts w:hint="eastAsia"/>
                <w:b/>
                <w:bCs/>
                <w:lang w:val="en-US" w:eastAsia="zh-CN"/>
              </w:rPr>
              <w:t>112bis-e meeting</w:t>
            </w:r>
            <w:r>
              <w:rPr>
                <w:rFonts w:hint="eastAsia"/>
                <w:lang w:val="en-US" w:eastAsia="zh-CN"/>
              </w:rPr>
              <w:t>:</w:t>
            </w:r>
          </w:p>
          <w:p>
            <w:pPr>
              <w:rPr>
                <w:b/>
                <w:lang w:val="en-US"/>
              </w:rPr>
            </w:pPr>
            <w:r>
              <w:rPr>
                <w:b/>
                <w:highlight w:val="green"/>
                <w:lang w:val="en-US"/>
              </w:rPr>
              <w:t>Agreement</w:t>
            </w:r>
          </w:p>
          <w:p>
            <w:pPr>
              <w:snapToGrid w:val="0"/>
              <w:jc w:val="both"/>
              <w:rPr>
                <w:rFonts w:cs="Times"/>
                <w:b/>
                <w:bCs/>
                <w:szCs w:val="20"/>
                <w:u w:val="single"/>
              </w:rPr>
            </w:pPr>
            <w:r>
              <w:rPr>
                <w:rFonts w:cs="Times"/>
                <w:bCs/>
                <w:szCs w:val="20"/>
              </w:rPr>
              <w:t xml:space="preserve">For PRS bandwidth aggregation between PRS in two or three different PFLs, </w:t>
            </w:r>
            <w:r>
              <w:rPr>
                <w:rFonts w:cs="Times"/>
                <w:bCs/>
                <w:szCs w:val="20"/>
                <w:highlight w:val="yellow"/>
              </w:rPr>
              <w:t xml:space="preserve">decide whether </w:t>
            </w:r>
            <w:r>
              <w:rPr>
                <w:rFonts w:cs="Times"/>
                <w:highlight w:val="yellow"/>
              </w:rPr>
              <w:t>one or more</w:t>
            </w:r>
            <w:r>
              <w:rPr>
                <w:rFonts w:cs="Times"/>
              </w:rPr>
              <w:t xml:space="preserve"> of</w:t>
            </w:r>
            <w:r>
              <w:rPr>
                <w:rFonts w:cs="Times"/>
                <w:bCs/>
                <w:szCs w:val="20"/>
              </w:rPr>
              <w:t xml:space="preserve"> the following are needed for the aggregated PRS resources from a TRP in RAN1#113 meeting:</w:t>
            </w:r>
          </w:p>
          <w:p>
            <w:pPr>
              <w:numPr>
                <w:ilvl w:val="0"/>
                <w:numId w:val="6"/>
              </w:numPr>
              <w:snapToGrid w:val="0"/>
              <w:contextualSpacing/>
              <w:jc w:val="both"/>
              <w:rPr>
                <w:rFonts w:eastAsia="宋体" w:cs="Times"/>
                <w:szCs w:val="20"/>
              </w:rPr>
            </w:pPr>
            <w:r>
              <w:rPr>
                <w:rFonts w:cs="Times"/>
                <w:szCs w:val="20"/>
              </w:rPr>
              <w:t>The same antenna port from RAN1 perspective</w:t>
            </w:r>
          </w:p>
          <w:p>
            <w:pPr>
              <w:numPr>
                <w:ilvl w:val="1"/>
                <w:numId w:val="6"/>
              </w:numPr>
              <w:snapToGrid w:val="0"/>
              <w:contextualSpacing/>
              <w:jc w:val="both"/>
              <w:rPr>
                <w:rFonts w:eastAsia="宋体" w:cs="Times"/>
                <w:szCs w:val="20"/>
              </w:rPr>
            </w:pPr>
            <w:r>
              <w:rPr>
                <w:rFonts w:cs="Times"/>
                <w:szCs w:val="20"/>
              </w:rPr>
              <w:t>Note: this is to achieve phase continuity between PFLs</w:t>
            </w:r>
          </w:p>
          <w:p>
            <w:pPr>
              <w:numPr>
                <w:ilvl w:val="0"/>
                <w:numId w:val="6"/>
              </w:numPr>
              <w:snapToGrid w:val="0"/>
              <w:contextualSpacing/>
              <w:jc w:val="both"/>
              <w:rPr>
                <w:rFonts w:eastAsia="宋体" w:cs="Times"/>
                <w:szCs w:val="20"/>
              </w:rPr>
            </w:pPr>
            <w:r>
              <w:rPr>
                <w:rFonts w:cs="Times"/>
                <w:szCs w:val="20"/>
              </w:rPr>
              <w:t>The same periodicity and slot offset</w:t>
            </w:r>
          </w:p>
          <w:p>
            <w:pPr>
              <w:numPr>
                <w:ilvl w:val="0"/>
                <w:numId w:val="6"/>
              </w:numPr>
              <w:snapToGrid w:val="0"/>
              <w:contextualSpacing/>
              <w:jc w:val="both"/>
              <w:rPr>
                <w:rFonts w:eastAsia="宋体" w:cs="Times"/>
                <w:szCs w:val="20"/>
              </w:rPr>
            </w:pPr>
            <w:r>
              <w:rPr>
                <w:rFonts w:cs="Times"/>
                <w:szCs w:val="20"/>
              </w:rPr>
              <w:t>The same muting pattern</w:t>
            </w:r>
          </w:p>
          <w:p>
            <w:pPr>
              <w:numPr>
                <w:ilvl w:val="0"/>
                <w:numId w:val="6"/>
              </w:numPr>
              <w:snapToGrid w:val="0"/>
              <w:ind w:hanging="363"/>
              <w:contextualSpacing/>
              <w:jc w:val="both"/>
              <w:rPr>
                <w:rFonts w:eastAsia="宋体" w:cs="Times"/>
                <w:szCs w:val="20"/>
              </w:rPr>
            </w:pPr>
            <w:r>
              <w:rPr>
                <w:rFonts w:eastAsia="宋体" w:cs="Times"/>
                <w:szCs w:val="20"/>
              </w:rPr>
              <w:t xml:space="preserve">The same number of PRS resource sets and/or resources </w:t>
            </w:r>
            <w:r>
              <w:rPr>
                <w:rFonts w:eastAsia="宋体" w:cs="Times"/>
                <w:bCs/>
                <w:iCs/>
              </w:rPr>
              <w:t>per set</w:t>
            </w:r>
            <w:r>
              <w:rPr>
                <w:rFonts w:eastAsia="宋体" w:cs="Times"/>
                <w:szCs w:val="20"/>
              </w:rPr>
              <w:t xml:space="preserve"> for a TRP </w:t>
            </w:r>
          </w:p>
          <w:p>
            <w:pPr>
              <w:numPr>
                <w:ilvl w:val="0"/>
                <w:numId w:val="6"/>
              </w:numPr>
              <w:snapToGrid w:val="0"/>
              <w:ind w:hanging="363"/>
              <w:contextualSpacing/>
              <w:jc w:val="both"/>
              <w:rPr>
                <w:rFonts w:eastAsia="宋体" w:cs="Times"/>
                <w:szCs w:val="20"/>
              </w:rPr>
            </w:pPr>
            <w:r>
              <w:rPr>
                <w:rFonts w:eastAsia="宋体" w:cs="Times"/>
                <w:szCs w:val="20"/>
              </w:rPr>
              <w:t>The</w:t>
            </w:r>
            <w:r>
              <w:rPr>
                <w:rFonts w:cs="Times"/>
                <w:szCs w:val="20"/>
              </w:rPr>
              <w:t xml:space="preserve"> same </w:t>
            </w:r>
            <w:r>
              <w:rPr>
                <w:rFonts w:cs="Times"/>
                <w:i/>
                <w:szCs w:val="20"/>
              </w:rPr>
              <w:t>NR-DL-PRS-SFN0-Offset</w:t>
            </w:r>
            <w:r>
              <w:rPr>
                <w:rFonts w:cs="Times"/>
                <w:szCs w:val="20"/>
              </w:rPr>
              <w:t xml:space="preserve"> value</w:t>
            </w:r>
          </w:p>
          <w:p>
            <w:pPr>
              <w:numPr>
                <w:ilvl w:val="0"/>
                <w:numId w:val="6"/>
              </w:numPr>
              <w:snapToGrid w:val="0"/>
              <w:ind w:hanging="363"/>
              <w:contextualSpacing/>
              <w:jc w:val="both"/>
              <w:rPr>
                <w:rFonts w:eastAsia="宋体" w:cs="Times"/>
                <w:szCs w:val="20"/>
              </w:rPr>
            </w:pPr>
            <w:r>
              <w:rPr>
                <w:rFonts w:eastAsia="宋体" w:cs="Times"/>
                <w:szCs w:val="20"/>
              </w:rPr>
              <w:t xml:space="preserve">UE is expected to be configured with PRS resources that maintain a per-symbol uniformly spaced PRS pattern across aggregated bandwidths </w:t>
            </w:r>
          </w:p>
          <w:p>
            <w:pPr>
              <w:numPr>
                <w:ilvl w:val="1"/>
                <w:numId w:val="6"/>
              </w:numPr>
              <w:snapToGrid w:val="0"/>
              <w:ind w:left="1140" w:hanging="363"/>
              <w:contextualSpacing/>
              <w:jc w:val="both"/>
              <w:rPr>
                <w:rFonts w:eastAsia="宋体" w:cs="Times"/>
                <w:szCs w:val="20"/>
              </w:rPr>
            </w:pPr>
            <w:r>
              <w:rPr>
                <w:rFonts w:eastAsia="宋体" w:cs="Times"/>
                <w:szCs w:val="20"/>
              </w:rPr>
              <w:t>FFS: a per-symbol uniformly spaced PRS pattern across aggregated bandwidths does not preclude dropping some REs in the guardband between two PFLs</w:t>
            </w:r>
          </w:p>
          <w:p>
            <w:pPr>
              <w:numPr>
                <w:ilvl w:val="0"/>
                <w:numId w:val="6"/>
              </w:numPr>
              <w:snapToGrid w:val="0"/>
              <w:ind w:hanging="363"/>
              <w:contextualSpacing/>
              <w:jc w:val="both"/>
              <w:rPr>
                <w:rFonts w:hint="eastAsia"/>
                <w:vertAlign w:val="baseline"/>
                <w:lang w:val="en-US" w:eastAsia="zh-CN"/>
              </w:rPr>
            </w:pPr>
            <w:r>
              <w:rPr>
                <w:rFonts w:eastAsia="宋体" w:cs="Times"/>
                <w:szCs w:val="20"/>
              </w:rPr>
              <w:t>Others if any</w:t>
            </w:r>
          </w:p>
          <w:p>
            <w:pPr>
              <w:numPr>
                <w:ilvl w:val="0"/>
                <w:numId w:val="0"/>
              </w:numPr>
              <w:snapToGrid w:val="0"/>
              <w:contextualSpacing/>
              <w:jc w:val="both"/>
              <w:rPr>
                <w:rFonts w:eastAsia="宋体" w:cs="Times"/>
                <w:szCs w:val="20"/>
              </w:rPr>
            </w:pPr>
          </w:p>
          <w:p>
            <w:pPr>
              <w:numPr>
                <w:ilvl w:val="0"/>
                <w:numId w:val="0"/>
              </w:numPr>
              <w:snapToGrid w:val="0"/>
              <w:contextualSpacing/>
              <w:jc w:val="both"/>
              <w:rPr>
                <w:rFonts w:eastAsia="宋体" w:cs="Times"/>
                <w:szCs w:val="20"/>
              </w:rPr>
            </w:pPr>
          </w:p>
          <w:p>
            <w:pPr>
              <w:rPr>
                <w:rFonts w:hint="eastAsia" w:eastAsia="宋体" w:cs="Times"/>
                <w:szCs w:val="20"/>
                <w:lang w:val="en-US" w:eastAsia="zh-CN"/>
              </w:rPr>
            </w:pPr>
            <w:r>
              <w:rPr>
                <w:rFonts w:hint="eastAsia"/>
                <w:b/>
                <w:bCs/>
                <w:lang w:val="en-US" w:eastAsia="zh-CN"/>
              </w:rPr>
              <w:t>113 meeting</w:t>
            </w:r>
            <w:r>
              <w:rPr>
                <w:rFonts w:hint="eastAsia"/>
                <w:lang w:val="en-US" w:eastAsia="zh-CN"/>
              </w:rPr>
              <w:t>:</w:t>
            </w:r>
          </w:p>
          <w:p>
            <w:pPr>
              <w:snapToGrid w:val="0"/>
              <w:jc w:val="both"/>
              <w:rPr>
                <w:rFonts w:cs="Times"/>
                <w:b/>
                <w:bCs/>
                <w:szCs w:val="20"/>
              </w:rPr>
            </w:pPr>
            <w:r>
              <w:rPr>
                <w:rFonts w:cs="Times"/>
                <w:b/>
                <w:bCs/>
                <w:szCs w:val="20"/>
                <w:highlight w:val="green"/>
              </w:rPr>
              <w:t>Agreement</w:t>
            </w:r>
          </w:p>
          <w:p>
            <w:pPr>
              <w:snapToGrid w:val="0"/>
              <w:jc w:val="both"/>
              <w:rPr>
                <w:rFonts w:cs="Times"/>
                <w:b/>
                <w:bCs/>
                <w:szCs w:val="20"/>
                <w:u w:val="single"/>
              </w:rPr>
            </w:pPr>
            <w:r>
              <w:rPr>
                <w:rFonts w:cs="Times"/>
                <w:bCs/>
                <w:szCs w:val="20"/>
              </w:rPr>
              <w:t xml:space="preserve">For PRS bandwidth aggregation between PRS in two or three different PFLs, the following are needed for the aggregated PRS resources </w:t>
            </w:r>
            <w:r>
              <w:rPr>
                <w:rFonts w:hint="eastAsia" w:eastAsia="宋体" w:cs="Times"/>
                <w:bCs/>
                <w:szCs w:val="20"/>
                <w:lang w:val="en-US" w:eastAsia="zh-CN"/>
              </w:rPr>
              <w:t xml:space="preserve">for </w:t>
            </w:r>
            <w:r>
              <w:rPr>
                <w:rFonts w:cs="Times"/>
                <w:bCs/>
                <w:szCs w:val="20"/>
              </w:rPr>
              <w:t>a TRP:</w:t>
            </w:r>
          </w:p>
          <w:p>
            <w:pPr>
              <w:numPr>
                <w:ilvl w:val="0"/>
                <w:numId w:val="6"/>
              </w:numPr>
              <w:snapToGrid w:val="0"/>
              <w:contextualSpacing/>
              <w:jc w:val="both"/>
              <w:rPr>
                <w:rFonts w:eastAsia="宋体" w:cs="Times"/>
                <w:szCs w:val="20"/>
              </w:rPr>
            </w:pPr>
            <w:r>
              <w:rPr>
                <w:rFonts w:cs="Times"/>
                <w:szCs w:val="20"/>
              </w:rPr>
              <w:t>The same periodicity and slot offset</w:t>
            </w:r>
            <w:r>
              <w:rPr>
                <w:rFonts w:hint="eastAsia" w:eastAsia="宋体" w:cs="Times"/>
                <w:szCs w:val="20"/>
                <w:lang w:val="en-US" w:eastAsia="zh-CN"/>
              </w:rPr>
              <w:t xml:space="preserve"> </w:t>
            </w:r>
          </w:p>
          <w:p>
            <w:pPr>
              <w:numPr>
                <w:ilvl w:val="0"/>
                <w:numId w:val="6"/>
              </w:numPr>
              <w:snapToGrid w:val="0"/>
              <w:contextualSpacing/>
              <w:jc w:val="both"/>
              <w:rPr>
                <w:rFonts w:eastAsia="宋体" w:cs="Times"/>
                <w:szCs w:val="20"/>
              </w:rPr>
            </w:pPr>
            <w:r>
              <w:rPr>
                <w:rFonts w:cs="Times"/>
                <w:szCs w:val="20"/>
              </w:rPr>
              <w:t>The same muting pattern</w:t>
            </w:r>
          </w:p>
          <w:p>
            <w:pPr>
              <w:numPr>
                <w:ilvl w:val="0"/>
                <w:numId w:val="6"/>
              </w:numPr>
              <w:snapToGrid w:val="0"/>
              <w:contextualSpacing/>
              <w:jc w:val="both"/>
              <w:rPr>
                <w:rFonts w:cs="Times"/>
                <w:szCs w:val="20"/>
              </w:rPr>
            </w:pPr>
            <w:r>
              <w:rPr>
                <w:rFonts w:cs="Times"/>
                <w:szCs w:val="20"/>
              </w:rPr>
              <w:t xml:space="preserve">The same </w:t>
            </w:r>
            <w:r>
              <w:rPr>
                <w:rFonts w:cs="Times"/>
                <w:i/>
                <w:iCs/>
                <w:szCs w:val="20"/>
              </w:rPr>
              <w:t>NR-DL-PRS-SFN0-Offset</w:t>
            </w:r>
            <w:r>
              <w:rPr>
                <w:rFonts w:cs="Times"/>
                <w:szCs w:val="20"/>
              </w:rPr>
              <w:t xml:space="preserve"> value</w:t>
            </w:r>
          </w:p>
          <w:p>
            <w:pPr>
              <w:numPr>
                <w:ilvl w:val="0"/>
                <w:numId w:val="6"/>
              </w:numPr>
              <w:snapToGrid w:val="0"/>
              <w:spacing w:before="120" w:after="120"/>
              <w:ind w:hanging="363"/>
              <w:contextualSpacing/>
              <w:jc w:val="both"/>
              <w:rPr>
                <w:rFonts w:eastAsia="宋体"/>
                <w:szCs w:val="20"/>
              </w:rPr>
            </w:pPr>
            <w:r>
              <w:rPr>
                <w:rFonts w:eastAsia="宋体"/>
                <w:szCs w:val="20"/>
              </w:rPr>
              <w:t xml:space="preserve">UE </w:t>
            </w:r>
            <w:r>
              <w:rPr>
                <w:rFonts w:hint="eastAsia" w:eastAsia="宋体"/>
                <w:szCs w:val="20"/>
                <w:lang w:val="en-US" w:eastAsia="zh-CN"/>
              </w:rPr>
              <w:t>expects</w:t>
            </w:r>
            <w:r>
              <w:rPr>
                <w:rFonts w:eastAsia="宋体"/>
                <w:szCs w:val="20"/>
              </w:rPr>
              <w:t xml:space="preserve"> to be configured with PRS resources that maintain a per-symbol uniformly spaced PRS pattern across aggregated bandwidths</w:t>
            </w:r>
            <w:r>
              <w:rPr>
                <w:rFonts w:hint="eastAsia" w:eastAsia="宋体"/>
                <w:szCs w:val="20"/>
                <w:lang w:val="en-US" w:eastAsia="zh-CN"/>
              </w:rPr>
              <w:t xml:space="preserve"> in frequency domain</w:t>
            </w:r>
            <w:r>
              <w:rPr>
                <w:rFonts w:eastAsia="宋体"/>
                <w:szCs w:val="20"/>
              </w:rPr>
              <w:t xml:space="preserve"> </w:t>
            </w:r>
            <w:r>
              <w:rPr>
                <w:rFonts w:hint="eastAsia" w:eastAsia="宋体"/>
                <w:szCs w:val="20"/>
              </w:rPr>
              <w:t>(Note: It</w:t>
            </w:r>
            <w:r>
              <w:rPr>
                <w:rFonts w:eastAsia="宋体"/>
                <w:szCs w:val="20"/>
              </w:rPr>
              <w:t xml:space="preserve"> does not preclude dropping some REs in the guardband between two PFLs</w:t>
            </w:r>
            <w:r>
              <w:rPr>
                <w:rFonts w:hint="eastAsia" w:eastAsia="宋体"/>
                <w:szCs w:val="20"/>
              </w:rPr>
              <w:t>).</w:t>
            </w:r>
          </w:p>
          <w:p>
            <w:pPr>
              <w:numPr>
                <w:ilvl w:val="0"/>
                <w:numId w:val="6"/>
              </w:numPr>
              <w:snapToGrid w:val="0"/>
              <w:contextualSpacing/>
              <w:jc w:val="both"/>
              <w:rPr>
                <w:rFonts w:eastAsia="宋体"/>
                <w:szCs w:val="20"/>
              </w:rPr>
            </w:pPr>
            <w:r>
              <w:rPr>
                <w:rFonts w:cs="Times"/>
                <w:szCs w:val="20"/>
              </w:rPr>
              <w:t xml:space="preserve">FFS </w:t>
            </w:r>
            <w:r>
              <w:rPr>
                <w:szCs w:val="20"/>
              </w:rPr>
              <w:t>same antenna port from RAN1 perspective</w:t>
            </w:r>
          </w:p>
          <w:p>
            <w:pPr>
              <w:rPr>
                <w:rFonts w:hint="default"/>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RAN1 had several agreements for enabling PRS bandwidth aggregation between PRS in two or three different PFLs, and in the latest two meetings the conditions which should be satisfied for the aggregated PRS resources from a TRP across the aggregated PFLs were proposed.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 xml:space="preserve">For this issue RAN1 is still under the discussion,  RAN 4 could study the core requirements based on the current RAN1 outcomes firstly and the more specific conditions like </w:t>
      </w:r>
      <w:r>
        <w:rPr>
          <w:rFonts w:hint="eastAsia"/>
          <w:i/>
          <w:iCs/>
          <w:sz w:val="22"/>
          <w:szCs w:val="22"/>
          <w:lang w:val="en-US" w:eastAsia="zh-CN"/>
        </w:rPr>
        <w:t>The same same antenna port</w:t>
      </w:r>
      <w:r>
        <w:rPr>
          <w:rFonts w:hint="eastAsia"/>
          <w:sz w:val="22"/>
          <w:szCs w:val="22"/>
          <w:lang w:val="en-US" w:eastAsia="zh-CN"/>
        </w:rPr>
        <w:t xml:space="preserve"> will be discussed in RAN1 in the future meeting.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2: RAN4 shall study the core requirements based on the current RAN1 progress and outcomes.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In this meeting, we mainly focus on the measurement period on bandwidth aggregation for positioning measurements across up to three intra-band contiguous carriers, and the legacy measurement period can be used as baseline. T</w:t>
      </w:r>
      <w:r>
        <w:rPr>
          <w:sz w:val="22"/>
          <w:szCs w:val="22"/>
        </w:rPr>
        <w:t>he measurement period for positioning is calculated on a basis of PFL</w:t>
      </w:r>
      <w:r>
        <w:rPr>
          <w:rFonts w:hint="eastAsia" w:eastAsia="宋体"/>
          <w:sz w:val="22"/>
          <w:szCs w:val="22"/>
          <w:lang w:val="en-US" w:eastAsia="zh-CN"/>
        </w:rPr>
        <w:t>i</w:t>
      </w:r>
      <w:r>
        <w:rPr>
          <w:sz w:val="22"/>
          <w:szCs w:val="22"/>
        </w:rPr>
        <w:t xml:space="preserve"> (</w:t>
      </w:r>
      <w:r>
        <w:rPr>
          <w:rFonts w:hint="eastAsia" w:eastAsia="宋体"/>
          <w:sz w:val="22"/>
          <w:szCs w:val="22"/>
          <w:lang w:val="en-US" w:eastAsia="zh-CN"/>
        </w:rPr>
        <w:t>i</w:t>
      </w:r>
      <w:r>
        <w:rPr>
          <w:sz w:val="22"/>
          <w:szCs w:val="22"/>
        </w:rPr>
        <w:t xml:space="preserve"> is the index of PFL). Inside one positioning measurement gap config the UE is only expected to measure a single DL-PRS PFL. And different positioning MG is not overlapping in time domain</w:t>
      </w:r>
      <w:r>
        <w:rPr>
          <w:rFonts w:hint="eastAsia" w:eastAsia="宋体"/>
          <w:sz w:val="22"/>
          <w:szCs w:val="22"/>
          <w:lang w:val="en-US" w:eastAsia="zh-CN"/>
        </w:rPr>
        <w:t xml:space="preserve"> as shown in figure 3</w:t>
      </w:r>
      <w:r>
        <w:rPr>
          <w:sz w:val="22"/>
          <w:szCs w:val="22"/>
        </w:rPr>
        <w:t>.</w:t>
      </w:r>
      <w:r>
        <w:rPr>
          <w:rFonts w:hint="eastAsia" w:eastAsia="宋体"/>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2"/>
          <w:szCs w:val="22"/>
          <w:lang w:val="en-US" w:eastAsia="zh-CN"/>
        </w:rPr>
      </w:pPr>
      <w:r>
        <w:rPr>
          <w:rFonts w:hint="eastAsia"/>
          <w:sz w:val="22"/>
          <w:szCs w:val="22"/>
        </w:rPr>
        <w:t>However, in CA scenario DL-PRS RSTD/RSRP/RSRPP/Rx-Tx time difference are not measured separately on multiple aggregated PFL, PFL as the basis of calculating measurement period may not be very appropriate and accurate.</w:t>
      </w:r>
      <w:r>
        <w:rPr>
          <w:rFonts w:hint="eastAsia" w:eastAsia="宋体"/>
          <w:sz w:val="22"/>
          <w:szCs w:val="22"/>
          <w:lang w:val="en-US" w:eastAsia="zh-CN"/>
        </w:rPr>
        <w:t xml:space="preserve"> </w:t>
      </w:r>
      <w:r>
        <w:rPr>
          <w:rFonts w:hint="eastAsia"/>
          <w:sz w:val="22"/>
          <w:szCs w:val="22"/>
        </w:rPr>
        <w:t>The measurement period of DL-PRS measured simultaneously in multiple PFLs should be no smaller or larger than that of DL-PRS measured in one PFL but no larger than or smaller than the sum of measurement period of multiple PFLs</w:t>
      </w:r>
      <w:r>
        <w:rPr>
          <w:rFonts w:hint="eastAsia" w:eastAsia="宋体"/>
          <w:sz w:val="22"/>
          <w:szCs w:val="22"/>
          <w:lang w:val="en-US" w:eastAsia="zh-CN"/>
        </w:rPr>
        <w:t xml:space="preserve"> as shown in 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rPr>
      </w:pPr>
      <w:r>
        <w:rPr>
          <w:rFonts w:hint="eastAsia"/>
          <w:sz w:val="22"/>
          <w:szCs w:val="22"/>
        </w:rPr>
        <w:t xml:space="preserve">In the following paragraphs, we provide </w:t>
      </w:r>
      <w:r>
        <w:rPr>
          <w:rFonts w:hint="eastAsia" w:eastAsia="宋体"/>
          <w:sz w:val="22"/>
          <w:szCs w:val="22"/>
          <w:lang w:val="en-US" w:eastAsia="zh-CN"/>
        </w:rPr>
        <w:t>the</w:t>
      </w:r>
      <w:r>
        <w:rPr>
          <w:rFonts w:hint="eastAsia"/>
          <w:sz w:val="22"/>
          <w:szCs w:val="22"/>
        </w:rPr>
        <w:t xml:space="preserve"> </w:t>
      </w:r>
      <w:r>
        <w:rPr>
          <w:rFonts w:hint="eastAsia" w:eastAsia="宋体"/>
          <w:sz w:val="22"/>
          <w:szCs w:val="22"/>
          <w:lang w:val="en-US" w:eastAsia="zh-CN"/>
        </w:rPr>
        <w:t>analysis</w:t>
      </w:r>
      <w:r>
        <w:rPr>
          <w:rFonts w:hint="eastAsia"/>
          <w:sz w:val="22"/>
          <w:szCs w:val="22"/>
        </w:rPr>
        <w:t xml:space="preserve">: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82110" cy="3005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82110" cy="300545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lang w:val="en-US" w:eastAsia="zh-CN"/>
        </w:rPr>
      </w:pPr>
      <w:r>
        <w:rPr>
          <w:rFonts w:hint="eastAsia" w:eastAsia="宋体"/>
          <w:lang w:val="en-US" w:eastAsia="zh-CN"/>
        </w:rPr>
        <w:t>Figure 3</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76395" cy="30118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76395" cy="301180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eastAsia" w:eastAsia="宋体"/>
          <w:lang w:val="en-US" w:eastAsia="zh-CN"/>
        </w:rPr>
        <w:t>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As the illustrations shown, in order to aggregate PRS resources across different PFLs, UE will receive all target resources from different PFLs and measure them across a larger bandwidth to improve performance, when defining the measurement period, the legacy requirements in TS38.133 can be as baseline: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b/>
          <w:bCs/>
          <w:lang w:val="en-US" w:eastAsia="zh-CN"/>
        </w:rPr>
      </w:pPr>
      <w:r>
        <w:rPr>
          <w:rFonts w:hint="eastAsia" w:eastAsia="宋体"/>
          <w:b/>
          <w:bCs/>
          <w:lang w:val="en-US" w:eastAsia="zh-CN"/>
        </w:rPr>
        <w:t>Connected or 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i/>
                <w:iCs/>
                <w:u w:val="single"/>
              </w:rPr>
            </w:pPr>
            <w:r>
              <w:rPr>
                <w:i/>
                <w:iCs/>
                <w:u w:val="single"/>
                <w:lang w:eastAsia="zh-CN"/>
              </w:rPr>
              <w:t xml:space="preserve">After receiving both </w:t>
            </w:r>
            <w:r>
              <w:rPr>
                <w:i/>
                <w:iCs/>
                <w:u w:val="single"/>
              </w:rPr>
              <w:t>NR-TDOA-ProvideAssistanceData message and NR-TDOA-RequestLocationInformation message from the LMF via LPP [34], the UE shall be able to measure multiple (</w:t>
            </w:r>
            <w:r>
              <w:rPr>
                <w:rFonts w:cs="Arial"/>
                <w:i/>
                <w:iCs/>
                <w:u w:val="single"/>
              </w:rPr>
              <w:t>up to the UE capability specified in Clause 5.6.2.3</w:t>
            </w:r>
            <w:r>
              <w:rPr>
                <w:i/>
                <w:iCs/>
                <w:u w:val="single"/>
              </w:rPr>
              <w:t xml:space="preserve">) DL RSTD measurements, defined in TS 38.215 [4], </w:t>
            </w:r>
            <w:r>
              <w:rPr>
                <w:i/>
                <w:iCs/>
                <w:u w:val="single"/>
                <w:lang w:eastAsia="zh-CN"/>
              </w:rPr>
              <w:t>during</w:t>
            </w:r>
            <w:r>
              <w:rPr>
                <w:i/>
                <w:iCs/>
                <w:u w:val="single"/>
              </w:rPr>
              <w:t xml:space="preserve"> the measurement period </w:t>
            </w:r>
            <m:oMath>
              <m:sSub>
                <m:sSubPr>
                  <m:ctrlPr>
                    <w:rPr>
                      <w:rFonts w:ascii="Cambria Math" w:hAnsi="Cambria Math"/>
                      <w:i/>
                      <w:iCs/>
                      <w:sz w:val="18"/>
                      <w:szCs w:val="18"/>
                      <w:u w:val="single"/>
                    </w:rPr>
                  </m:ctrlPr>
                </m:sSubPr>
                <m:e>
                  <m:r>
                    <m:rPr/>
                    <w:rPr>
                      <w:rFonts w:ascii="Cambria Math" w:hAnsi="Cambria Math"/>
                      <w:sz w:val="18"/>
                      <w:szCs w:val="18"/>
                      <w:u w:val="single"/>
                    </w:rPr>
                    <m:t>T</m:t>
                  </m:r>
                  <m:ctrlPr>
                    <w:rPr>
                      <w:rFonts w:ascii="Cambria Math" w:hAnsi="Cambria Math"/>
                      <w:i/>
                      <w:iCs/>
                      <w:sz w:val="18"/>
                      <w:szCs w:val="18"/>
                      <w:u w:val="single"/>
                    </w:rPr>
                  </m:ctrlPr>
                </m:e>
                <m:sub>
                  <m:r>
                    <m:rPr/>
                    <w:rPr>
                      <w:rFonts w:ascii="Cambria Math" w:hAnsi="Cambria Math"/>
                      <w:sz w:val="18"/>
                      <w:szCs w:val="18"/>
                      <w:u w:val="single"/>
                    </w:rPr>
                    <m:t>RSTD,Total</m:t>
                  </m:r>
                  <m:ctrlPr>
                    <w:rPr>
                      <w:rFonts w:ascii="Cambria Math" w:hAnsi="Cambria Math"/>
                      <w:i/>
                      <w:iCs/>
                      <w:sz w:val="18"/>
                      <w:szCs w:val="18"/>
                      <w:u w:val="single"/>
                    </w:rPr>
                  </m:ctrlPr>
                </m:sub>
              </m:sSub>
            </m:oMath>
            <w:r>
              <w:rPr>
                <w:i/>
                <w:iCs/>
                <w:u w:val="single"/>
              </w:rPr>
              <w:t xml:space="preserve"> defined as:</w:t>
            </w:r>
          </w:p>
          <w:p>
            <w:pPr>
              <w:pStyle w:val="33"/>
              <w:rPr>
                <w:i/>
                <w:iCs/>
                <w:u w:val="none"/>
              </w:rPr>
            </w:pPr>
            <w:r>
              <w:rPr>
                <w:i/>
                <w:iCs/>
                <w:u w:val="none"/>
              </w:rPr>
              <w:tab/>
            </w:r>
            <m:oMath>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RSTD,Total</m:t>
                  </m:r>
                  <m:ctrlPr>
                    <w:rPr>
                      <w:rFonts w:ascii="Cambria Math" w:hAnsi="Cambria Math"/>
                      <w:i/>
                      <w:iCs/>
                      <w:u w:val="none"/>
                    </w:rPr>
                  </m:ctrlPr>
                </m:sub>
              </m:sSub>
              <m:r>
                <m:rPr/>
                <w:rPr>
                  <w:rFonts w:ascii="Cambria Math" w:hAnsi="Cambria Math"/>
                  <w:u w:val="none"/>
                </w:rPr>
                <m:t>=</m:t>
              </m:r>
              <m:nary>
                <m:naryPr>
                  <m:chr m:val="∑"/>
                  <m:limLoc m:val="undOvr"/>
                  <m:ctrlPr>
                    <w:rPr>
                      <w:rFonts w:ascii="Cambria Math" w:hAnsi="Cambria Math"/>
                      <w:i/>
                      <w:iCs/>
                      <w:u w:val="none"/>
                    </w:rPr>
                  </m:ctrlPr>
                </m:naryPr>
                <m:sub>
                  <m:r>
                    <m:rPr/>
                    <w:rPr>
                      <w:rFonts w:hint="default" w:ascii="Cambria Math" w:hAnsi="Cambria Math"/>
                      <w:u w:val="none"/>
                    </w:rPr>
                    <m:t>i=1</m:t>
                  </m:r>
                  <m:ctrlPr>
                    <w:rPr>
                      <w:rFonts w:ascii="Cambria Math" w:hAnsi="Cambria Math"/>
                      <w:i/>
                      <w:iCs/>
                      <w:u w:val="none"/>
                    </w:rPr>
                  </m:ctrlPr>
                </m:sub>
                <m:sup>
                  <m:r>
                    <m:rPr/>
                    <w:rPr>
                      <w:rFonts w:hint="default" w:ascii="Cambria Math" w:hAnsi="Cambria Math"/>
                      <w:u w:val="none"/>
                    </w:rPr>
                    <m:t>L</m:t>
                  </m:r>
                  <m:ctrlPr>
                    <w:rPr>
                      <w:rFonts w:ascii="Cambria Math" w:hAnsi="Cambria Math"/>
                      <w:i/>
                      <w:iCs/>
                      <w:u w:val="none"/>
                    </w:rPr>
                  </m:ctrlPr>
                </m:sup>
                <m:e>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RSTD,i</m:t>
                      </m:r>
                      <m:ctrlPr>
                        <w:rPr>
                          <w:rFonts w:ascii="Cambria Math" w:hAnsi="Cambria Math"/>
                          <w:i/>
                          <w:iCs/>
                          <w:u w:val="none"/>
                        </w:rPr>
                      </m:ctrlPr>
                    </m:sub>
                  </m:sSub>
                  <m:r>
                    <m:rPr/>
                    <w:rPr>
                      <w:rFonts w:ascii="Cambria Math" w:hAnsi="Cambria Math"/>
                      <w:u w:val="none"/>
                    </w:rPr>
                    <m:t xml:space="preserve">+ </m:t>
                  </m:r>
                  <m:d>
                    <m:dPr>
                      <m:ctrlPr>
                        <w:rPr>
                          <w:rFonts w:ascii="Cambria Math" w:hAnsi="Cambria Math"/>
                          <w:bCs/>
                          <w:i/>
                          <w:iCs/>
                          <w:u w:val="none"/>
                        </w:rPr>
                      </m:ctrlPr>
                    </m:dPr>
                    <m:e>
                      <m:r>
                        <m:rPr/>
                        <w:rPr>
                          <w:rFonts w:hint="default" w:ascii="Cambria Math" w:hAnsi="Cambria Math"/>
                          <w:u w:val="none"/>
                          <w:lang w:eastAsia="zh-CN"/>
                        </w:rPr>
                        <m:t>L−1</m:t>
                      </m:r>
                      <m:ctrlPr>
                        <w:rPr>
                          <w:rFonts w:ascii="Cambria Math" w:hAnsi="Cambria Math"/>
                          <w:bCs/>
                          <w:i/>
                          <w:iCs/>
                          <w:u w:val="none"/>
                        </w:rPr>
                      </m:ctrlPr>
                    </m:e>
                  </m:d>
                  <m:r>
                    <m:rPr/>
                    <w:rPr>
                      <w:rFonts w:ascii="Cambria Math" w:hAnsi="Cambria Math"/>
                      <w:u w:val="none"/>
                      <w:lang w:eastAsia="zh-CN"/>
                    </w:rPr>
                    <m:t>∗</m:t>
                  </m:r>
                  <m:func>
                    <m:funcPr>
                      <m:ctrlPr>
                        <w:rPr>
                          <w:rFonts w:ascii="Cambria Math" w:hAnsi="Cambria Math"/>
                          <w:bCs/>
                          <w:i/>
                          <w:iCs/>
                          <w:u w:val="none"/>
                        </w:rPr>
                      </m:ctrlPr>
                    </m:funcPr>
                    <m:fName>
                      <m:r>
                        <m:rPr/>
                        <w:rPr>
                          <w:rFonts w:hint="default" w:ascii="Cambria Math" w:hAnsi="Cambria Math"/>
                          <w:u w:val="none"/>
                          <w:lang w:eastAsia="zh-CN"/>
                        </w:rPr>
                        <m:t>max</m:t>
                      </m:r>
                      <m:ctrlPr>
                        <w:rPr>
                          <w:rFonts w:ascii="Cambria Math" w:hAnsi="Cambria Math"/>
                          <w:bCs/>
                          <w:i/>
                          <w:iCs/>
                          <w:u w:val="none"/>
                        </w:rPr>
                      </m:ctrlPr>
                    </m:fName>
                    <m:e>
                      <m:d>
                        <m:dPr>
                          <m:ctrlPr>
                            <w:rPr>
                              <w:rFonts w:ascii="Cambria Math" w:hAnsi="Cambria Math"/>
                              <w:bCs/>
                              <w:i/>
                              <w:iCs/>
                              <w:u w:val="none"/>
                            </w:rPr>
                          </m:ctrlPr>
                        </m:dPr>
                        <m:e>
                          <m:sSub>
                            <m:sSubPr>
                              <m:ctrlPr>
                                <w:rPr>
                                  <w:rFonts w:ascii="Cambria Math" w:hAnsi="Cambria Math"/>
                                  <w:bCs/>
                                  <w:i/>
                                  <w:iCs/>
                                  <w:u w:val="none"/>
                                </w:rPr>
                              </m:ctrlPr>
                            </m:sSubPr>
                            <m:e>
                              <m:r>
                                <m:rPr/>
                                <w:rPr>
                                  <w:rFonts w:hint="default" w:ascii="Cambria Math" w:hAnsi="Cambria Math"/>
                                  <w:u w:val="none"/>
                                  <w:lang w:eastAsia="zh-CN"/>
                                </w:rPr>
                                <m:t>T</m:t>
                              </m:r>
                              <m:ctrlPr>
                                <w:rPr>
                                  <w:rFonts w:ascii="Cambria Math" w:hAnsi="Cambria Math"/>
                                  <w:bCs/>
                                  <w:i/>
                                  <w:iCs/>
                                  <w:u w:val="none"/>
                                </w:rPr>
                              </m:ctrlPr>
                            </m:e>
                            <m:sub>
                              <m:r>
                                <m:rPr/>
                                <w:rPr>
                                  <w:rFonts w:hint="default" w:ascii="Cambria Math" w:hAnsi="Cambria Math"/>
                                  <w:u w:val="none"/>
                                  <w:lang w:eastAsia="zh-CN"/>
                                </w:rPr>
                                <m:t>effect,i</m:t>
                              </m:r>
                              <m:ctrlPr>
                                <w:rPr>
                                  <w:rFonts w:ascii="Cambria Math" w:hAnsi="Cambria Math"/>
                                  <w:bCs/>
                                  <w:i/>
                                  <w:iCs/>
                                  <w:u w:val="none"/>
                                </w:rPr>
                              </m:ctrlPr>
                            </m:sub>
                          </m:sSub>
                          <m:ctrlPr>
                            <w:rPr>
                              <w:rFonts w:ascii="Cambria Math" w:hAnsi="Cambria Math"/>
                              <w:bCs/>
                              <w:i/>
                              <w:iCs/>
                              <w:u w:val="none"/>
                            </w:rPr>
                          </m:ctrlPr>
                        </m:e>
                      </m:d>
                      <m:ctrlPr>
                        <w:rPr>
                          <w:rFonts w:ascii="Cambria Math" w:hAnsi="Cambria Math"/>
                          <w:bCs/>
                          <w:i/>
                          <w:iCs/>
                          <w:u w:val="none"/>
                        </w:rPr>
                      </m:ctrlPr>
                    </m:e>
                  </m:func>
                  <m:r>
                    <m:rPr/>
                    <w:rPr>
                      <w:rFonts w:ascii="Cambria Math" w:hAnsi="Cambria Math"/>
                      <w:color w:val="0070C0"/>
                      <w:u w:val="none"/>
                      <w:lang w:eastAsia="zh-CN"/>
                    </w:rPr>
                    <m:t xml:space="preserve"> </m:t>
                  </m:r>
                  <m:ctrlPr>
                    <w:rPr>
                      <w:rFonts w:ascii="Cambria Math" w:hAnsi="Cambria Math"/>
                      <w:i/>
                      <w:iCs/>
                      <w:u w:val="none"/>
                    </w:rPr>
                  </m:ctrlPr>
                </m:e>
              </m:nary>
            </m:oMath>
          </w:p>
          <w:p>
            <w:pPr>
              <w:rPr>
                <w:i/>
                <w:iCs/>
                <w:u w:val="single"/>
                <w:lang w:eastAsia="zh-CN"/>
              </w:rPr>
            </w:pPr>
            <w:r>
              <w:rPr>
                <w:i/>
                <w:iCs/>
                <w:u w:val="single"/>
                <w:lang w:eastAsia="zh-CN"/>
              </w:rPr>
              <w:t>Where:</w:t>
            </w:r>
          </w:p>
          <w:p>
            <w:pPr>
              <w:pStyle w:val="49"/>
              <w:rPr>
                <w:i/>
                <w:iCs/>
                <w:highlight w:val="yellow"/>
                <w:u w:val="single"/>
                <w:lang w:eastAsia="zh-CN"/>
              </w:rPr>
            </w:pPr>
            <w:r>
              <w:rPr>
                <w:i/>
                <w:iCs/>
                <w:highlight w:val="yellow"/>
                <w:u w:val="single"/>
                <w:lang w:eastAsia="zh-CN"/>
              </w:rPr>
              <w:t>-</w:t>
            </w:r>
            <w:r>
              <w:rPr>
                <w:i/>
                <w:iCs/>
                <w:highlight w:val="yellow"/>
                <w:u w:val="single"/>
                <w:lang w:eastAsia="zh-CN"/>
              </w:rPr>
              <w:tab/>
            </w:r>
            <m:oMath>
              <m:r>
                <m:rPr/>
                <w:rPr>
                  <w:rFonts w:ascii="Cambria Math" w:hAnsi="Cambria Math"/>
                  <w:highlight w:val="yellow"/>
                  <w:u w:val="single"/>
                  <w:lang w:eastAsia="zh-CN"/>
                </w:rPr>
                <m:t>i</m:t>
              </m:r>
            </m:oMath>
            <w:r>
              <w:rPr>
                <w:i/>
                <w:iCs/>
                <w:highlight w:val="yellow"/>
                <w:u w:val="single"/>
                <w:lang w:eastAsia="zh-CN"/>
              </w:rPr>
              <w:t xml:space="preserve"> is the index of positioning frequency layer,</w:t>
            </w:r>
          </w:p>
          <w:p>
            <w:pPr>
              <w:pStyle w:val="49"/>
              <w:rPr>
                <w:i/>
                <w:iCs/>
                <w:highlight w:val="yellow"/>
                <w:u w:val="single"/>
                <w:lang w:eastAsia="zh-CN"/>
              </w:rPr>
            </w:pPr>
            <w:r>
              <w:rPr>
                <w:i/>
                <w:iCs/>
                <w:highlight w:val="yellow"/>
                <w:u w:val="single"/>
              </w:rPr>
              <w:t>-</w:t>
            </w:r>
            <w:r>
              <w:rPr>
                <w:i/>
                <w:iCs/>
                <w:highlight w:val="yellow"/>
                <w:u w:val="single"/>
              </w:rPr>
              <w:tab/>
            </w:r>
            <m:oMath>
              <m:r>
                <m:rPr/>
                <w:rPr>
                  <w:rFonts w:ascii="Cambria Math" w:hAnsi="Cambria Math"/>
                  <w:highlight w:val="yellow"/>
                  <w:u w:val="single"/>
                </w:rPr>
                <m:t>L</m:t>
              </m:r>
            </m:oMath>
            <w:r>
              <w:rPr>
                <w:i/>
                <w:iCs/>
                <w:highlight w:val="yellow"/>
                <w:u w:val="single"/>
              </w:rPr>
              <w:t xml:space="preserve"> is total number of </w:t>
            </w:r>
            <w:r>
              <w:rPr>
                <w:i/>
                <w:iCs/>
                <w:highlight w:val="yellow"/>
                <w:u w:val="single"/>
                <w:lang w:eastAsia="zh-CN"/>
              </w:rPr>
              <w:t xml:space="preserve">positioning </w:t>
            </w:r>
            <w:r>
              <w:rPr>
                <w:i/>
                <w:iCs/>
                <w:highlight w:val="yellow"/>
                <w:u w:val="single"/>
              </w:rPr>
              <w:t>frequency layers, and</w:t>
            </w:r>
          </w:p>
          <w:p>
            <w:pPr>
              <w:pStyle w:val="49"/>
              <w:rPr>
                <w:i/>
                <w:iCs/>
                <w:sz w:val="18"/>
                <w:szCs w:val="18"/>
                <w:highlight w:val="yellow"/>
                <w:u w:val="single"/>
                <w:lang w:eastAsia="zh-CN"/>
              </w:rPr>
            </w:pPr>
            <w:r>
              <w:rPr>
                <w:i/>
                <w:iCs/>
                <w:highlight w:val="yellow"/>
                <w:u w:val="single"/>
              </w:rPr>
              <w:t>-</w:t>
            </w:r>
            <w:r>
              <w:rPr>
                <w:i/>
                <w:iCs/>
                <w:highlight w:val="yellow"/>
                <w:u w:val="single"/>
              </w:rPr>
              <w:tab/>
            </w:r>
            <m:oMath>
              <m:sSub>
                <m:sSubPr>
                  <m:ctrlPr>
                    <w:rPr>
                      <w:rFonts w:ascii="Cambria Math" w:hAnsi="Cambria Math"/>
                      <w:bCs/>
                      <w:i/>
                      <w:iCs/>
                      <w:highlight w:val="yellow"/>
                      <w:u w:val="single"/>
                    </w:rPr>
                  </m:ctrlPr>
                </m:sSubPr>
                <m:e>
                  <m:r>
                    <m:rPr/>
                    <w:rPr>
                      <w:rFonts w:hint="default" w:ascii="Cambria Math" w:hAnsi="Cambria Math"/>
                      <w:highlight w:val="yellow"/>
                      <w:u w:val="single"/>
                      <w:lang w:eastAsia="zh-CN"/>
                    </w:rPr>
                    <m:t>T</m:t>
                  </m:r>
                  <m:ctrlPr>
                    <w:rPr>
                      <w:rFonts w:ascii="Cambria Math" w:hAnsi="Cambria Math"/>
                      <w:bCs/>
                      <w:i/>
                      <w:iCs/>
                      <w:highlight w:val="yellow"/>
                      <w:u w:val="single"/>
                    </w:rPr>
                  </m:ctrlPr>
                </m:e>
                <m:sub>
                  <m:r>
                    <m:rPr/>
                    <w:rPr>
                      <w:rFonts w:hint="default" w:ascii="Cambria Math" w:hAnsi="Cambria Math"/>
                      <w:highlight w:val="yellow"/>
                      <w:u w:val="single"/>
                      <w:lang w:eastAsia="zh-CN"/>
                    </w:rPr>
                    <m:t>effect,</m:t>
                  </m:r>
                  <m:r>
                    <m:rPr/>
                    <w:rPr>
                      <w:rFonts w:ascii="Cambria Math" w:hAnsi="Cambria Math"/>
                      <w:highlight w:val="yellow"/>
                      <w:u w:val="single"/>
                      <w:lang w:eastAsia="zh-CN"/>
                    </w:rPr>
                    <m:t>i</m:t>
                  </m:r>
                  <m:ctrlPr>
                    <w:rPr>
                      <w:rFonts w:ascii="Cambria Math" w:hAnsi="Cambria Math"/>
                      <w:bCs/>
                      <w:i/>
                      <w:iCs/>
                      <w:highlight w:val="yellow"/>
                      <w:u w:val="single"/>
                    </w:rPr>
                  </m:ctrlPr>
                </m:sub>
              </m:sSub>
            </m:oMath>
            <w:r>
              <w:rPr>
                <w:bCs/>
                <w:i/>
                <w:iCs/>
                <w:highlight w:val="yellow"/>
                <w:u w:val="single"/>
                <w:lang w:eastAsia="zh-CN"/>
              </w:rPr>
              <w:t xml:space="preserve"> </w:t>
            </w:r>
            <w:r>
              <w:rPr>
                <w:i/>
                <w:iCs/>
                <w:highlight w:val="yellow"/>
                <w:u w:val="single"/>
              </w:rPr>
              <w:t xml:space="preserve">is the periodicity of the </w:t>
            </w:r>
            <w:r>
              <w:rPr>
                <w:i/>
                <w:iCs/>
                <w:highlight w:val="yellow"/>
                <w:u w:val="single"/>
                <w:lang w:eastAsia="zh-CN"/>
              </w:rPr>
              <w:t>PRS RSTD</w:t>
            </w:r>
            <w:r>
              <w:rPr>
                <w:i/>
                <w:iCs/>
                <w:highlight w:val="yellow"/>
                <w:u w:val="single"/>
              </w:rPr>
              <w:t xml:space="preserve"> measurement in </w:t>
            </w:r>
            <w:r>
              <w:rPr>
                <w:i/>
                <w:iCs/>
                <w:highlight w:val="yellow"/>
                <w:u w:val="single"/>
                <w:lang w:eastAsia="zh-CN"/>
              </w:rPr>
              <w:t xml:space="preserve">positioning frequency layer i </w:t>
            </w:r>
          </w:p>
          <w:p>
            <w:pPr>
              <w:rPr>
                <w:i/>
                <w:iCs/>
                <w:u w:val="single"/>
              </w:rPr>
            </w:pPr>
            <m:oMath>
              <m:sSub>
                <m:sSubPr>
                  <m:ctrlPr>
                    <w:rPr>
                      <w:rFonts w:ascii="Cambria Math" w:hAnsi="Cambria Math"/>
                      <w:i/>
                      <w:iCs/>
                      <w:u w:val="single"/>
                    </w:rPr>
                  </m:ctrlPr>
                </m:sSubPr>
                <m:e>
                  <m:r>
                    <m:rPr/>
                    <w:rPr>
                      <w:rFonts w:hint="default" w:ascii="Cambria Math" w:hAnsi="Cambria Math"/>
                      <w:u w:val="single"/>
                      <w:lang w:eastAsia="zh-CN"/>
                    </w:rPr>
                    <m:t>T</m:t>
                  </m:r>
                  <m:ctrlPr>
                    <w:rPr>
                      <w:rFonts w:ascii="Cambria Math" w:hAnsi="Cambria Math"/>
                      <w:i/>
                      <w:iCs/>
                      <w:u w:val="single"/>
                    </w:rPr>
                  </m:ctrlPr>
                </m:e>
                <m:sub>
                  <m:r>
                    <m:rPr/>
                    <w:rPr>
                      <w:rFonts w:hint="default" w:ascii="Cambria Math" w:hAnsi="Cambria Math"/>
                      <w:u w:val="single"/>
                      <w:lang w:eastAsia="zh-CN"/>
                    </w:rPr>
                    <m:t>RSTD,i</m:t>
                  </m:r>
                  <m:ctrlPr>
                    <w:rPr>
                      <w:rFonts w:ascii="Cambria Math" w:hAnsi="Cambria Math"/>
                      <w:i/>
                      <w:iCs/>
                      <w:u w:val="single"/>
                    </w:rPr>
                  </m:ctrlPr>
                </m:sub>
              </m:sSub>
            </m:oMath>
            <w:r>
              <w:rPr>
                <w:i/>
                <w:iCs/>
                <w:u w:val="single"/>
              </w:rPr>
              <w:t xml:space="preserve"> is the measurement period for PRS RSTD measurement in </w:t>
            </w:r>
            <w:r>
              <w:rPr>
                <w:i/>
                <w:iCs/>
                <w:u w:val="single"/>
                <w:lang w:eastAsia="zh-CN"/>
              </w:rPr>
              <w:t>positioning frequency layer</w:t>
            </w:r>
            <w:r>
              <w:rPr>
                <w:i/>
                <w:iCs/>
                <w:u w:val="single"/>
              </w:rPr>
              <w:t xml:space="preserve"> i as specified below:</w:t>
            </w:r>
          </w:p>
          <w:p>
            <w:pPr>
              <w:pStyle w:val="33"/>
              <w:rPr>
                <w:b/>
                <w:bCs/>
              </w:rPr>
            </w:pPr>
            <w:r>
              <w:rPr>
                <w:i/>
                <w:iCs/>
                <w:u w:val="none"/>
              </w:rPr>
              <w:tab/>
            </w:r>
            <m:oMath>
              <m:sSub>
                <m:sSubPr>
                  <m:ctrlPr>
                    <w:rPr>
                      <w:rFonts w:ascii="Cambria Math" w:hAnsi="Cambria Math"/>
                      <w:i/>
                      <w:iCs/>
                      <w:u w:val="none"/>
                    </w:rPr>
                  </m:ctrlPr>
                </m:sSubPr>
                <m:e>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RSTD,i</m:t>
                  </m:r>
                  <m:ctrlPr>
                    <w:rPr>
                      <w:rFonts w:ascii="Cambria Math" w:hAnsi="Cambria Math"/>
                      <w:i/>
                      <w:iCs/>
                      <w:u w:val="none"/>
                    </w:rPr>
                  </m:ctrlPr>
                </m:sub>
              </m:sSub>
              <m:r>
                <m:rPr/>
                <w:rPr>
                  <w:rFonts w:ascii="Cambria Math" w:hAnsi="Cambria Math"/>
                  <w:u w:val="none"/>
                  <w:lang w:eastAsia="zh-CN"/>
                </w:rPr>
                <m:t xml:space="preserve">= </m:t>
              </m:r>
              <m:sSub>
                <m:sSubPr>
                  <m:ctrlPr>
                    <w:rPr>
                      <w:rFonts w:ascii="Cambria Math" w:hAnsi="Cambria Math"/>
                      <w:i/>
                      <w:iCs/>
                      <w:u w:val="none"/>
                    </w:rPr>
                  </m:ctrlPr>
                </m:sSubPr>
                <m:e>
                  <m:d>
                    <m:dPr>
                      <m:ctrlPr>
                        <w:rPr>
                          <w:rFonts w:ascii="Cambria Math" w:hAnsi="Cambria Math"/>
                          <w:i/>
                          <w:iCs/>
                          <w:u w:val="none"/>
                        </w:rPr>
                      </m:ctrlPr>
                    </m:dPr>
                    <m:e>
                      <m:sSub>
                        <m:sSubPr>
                          <m:ctrlPr>
                            <w:rPr>
                              <w:rFonts w:ascii="Cambria Math" w:hAnsi="Cambria Math"/>
                              <w:bCs/>
                              <w:i/>
                              <w:iCs/>
                              <w:u w:val="none"/>
                            </w:rPr>
                          </m:ctrlPr>
                        </m:sSubPr>
                        <m:e>
                          <m:sSub>
                            <m:sSubPr>
                              <m:ctrlPr>
                                <w:rPr>
                                  <w:rFonts w:ascii="Cambria Math" w:hAnsi="Cambria Math"/>
                                  <w:i/>
                                  <w:iCs/>
                                  <w:u w:val="none"/>
                                </w:rPr>
                              </m:ctrlPr>
                            </m:sSubPr>
                            <m:e>
                              <m:r>
                                <m:rPr/>
                                <w:rPr>
                                  <w:rFonts w:ascii="Cambria Math" w:hAnsi="Cambria Math"/>
                                  <w:u w:val="none"/>
                                  <w:lang w:eastAsia="zh-CN"/>
                                </w:rPr>
                                <m:t>K</m:t>
                              </m:r>
                              <m:ctrlPr>
                                <w:rPr>
                                  <w:rFonts w:ascii="Cambria Math" w:hAnsi="Cambria Math"/>
                                  <w:i/>
                                  <w:iCs/>
                                  <w:u w:val="none"/>
                                </w:rPr>
                              </m:ctrlPr>
                            </m:e>
                            <m:sub>
                              <m:r>
                                <m:rPr/>
                                <w:rPr>
                                  <w:rFonts w:hint="default" w:ascii="Cambria Math" w:hAnsi="Cambria Math"/>
                                  <w:u w:val="none"/>
                                  <w:lang w:eastAsia="zh-CN"/>
                                </w:rPr>
                                <m:t>carrier_PRS</m:t>
                              </m:r>
                              <m:ctrlPr>
                                <w:rPr>
                                  <w:rFonts w:ascii="Cambria Math" w:hAnsi="Cambria Math"/>
                                  <w:i/>
                                  <w:iCs/>
                                  <w:u w:val="none"/>
                                </w:rPr>
                              </m:ctrlPr>
                            </m:sub>
                          </m:sSub>
                          <m:r>
                            <m:rPr/>
                            <w:rPr>
                              <w:rFonts w:ascii="Cambria Math" w:hAnsi="Cambria Math"/>
                              <w:u w:val="none"/>
                            </w:rPr>
                            <m:t xml:space="preserve">∗ </m:t>
                          </m:r>
                          <m:sSub>
                            <m:sSubPr>
                              <m:ctrlPr>
                                <w:rPr>
                                  <w:rFonts w:ascii="Cambria Math" w:hAnsi="Cambria Math" w:eastAsia="MS Mincho"/>
                                  <w:i/>
                                  <w:iCs/>
                                  <w:u w:val="none"/>
                                </w:rPr>
                              </m:ctrlPr>
                            </m:sSubPr>
                            <m:e>
                              <m:r>
                                <m:rPr/>
                                <w:rPr>
                                  <w:rFonts w:ascii="Cambria Math" w:hAnsi="Cambria Math" w:eastAsia="MS Mincho"/>
                                  <w:u w:val="none"/>
                                </w:rPr>
                                <m:t>N</m:t>
                              </m:r>
                              <m:ctrlPr>
                                <w:rPr>
                                  <w:rFonts w:ascii="Cambria Math" w:hAnsi="Cambria Math" w:eastAsia="MS Mincho"/>
                                  <w:i/>
                                  <w:iCs/>
                                  <w:u w:val="none"/>
                                </w:rPr>
                              </m:ctrlPr>
                            </m:e>
                            <m:sub>
                              <m:r>
                                <m:rPr/>
                                <w:rPr>
                                  <w:rFonts w:ascii="Cambria Math" w:hAnsi="Cambria Math" w:eastAsia="MS Mincho"/>
                                  <w:u w:val="none"/>
                                </w:rPr>
                                <m:t>Rx,TEG,i</m:t>
                              </m:r>
                              <m:ctrlPr>
                                <w:rPr>
                                  <w:rFonts w:ascii="Cambria Math" w:hAnsi="Cambria Math" w:eastAsia="MS Mincho"/>
                                  <w:i/>
                                  <w:iCs/>
                                  <w:u w:val="none"/>
                                </w:rPr>
                              </m:ctrlPr>
                            </m:sub>
                          </m:sSub>
                          <m:r>
                            <m:rPr/>
                            <w:rPr>
                              <w:rFonts w:ascii="Cambria Math" w:hAnsi="Cambria Math"/>
                              <w:u w:val="none"/>
                            </w:rPr>
                            <m:t>∗N</m:t>
                          </m:r>
                          <m:ctrlPr>
                            <w:rPr>
                              <w:rFonts w:ascii="Cambria Math" w:hAnsi="Cambria Math"/>
                              <w:bCs/>
                              <w:i/>
                              <w:iCs/>
                              <w:u w:val="none"/>
                            </w:rPr>
                          </m:ctrlPr>
                        </m:e>
                        <m:sub>
                          <m:r>
                            <m:rPr/>
                            <w:rPr>
                              <w:rFonts w:ascii="Cambria Math" w:hAnsi="Cambria Math"/>
                              <w:u w:val="none"/>
                            </w:rPr>
                            <m:t>RxBeam,i</m:t>
                          </m:r>
                          <m:ctrlPr>
                            <w:rPr>
                              <w:rFonts w:ascii="Cambria Math" w:hAnsi="Cambria Math"/>
                              <w:bCs/>
                              <w:i/>
                              <w:iCs/>
                              <w:u w:val="none"/>
                            </w:rPr>
                          </m:ctrlPr>
                        </m:sub>
                      </m:sSub>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Sup>
                                <m:sSubSupPr>
                                  <m:ctrlPr>
                                    <w:rPr>
                                      <w:rFonts w:ascii="Cambria Math" w:hAnsi="Cambria Math"/>
                                      <w:i/>
                                      <w:iCs/>
                                      <w:u w:val="none"/>
                                    </w:rPr>
                                  </m:ctrlPr>
                                </m:sSubSupPr>
                                <m:e>
                                  <m:r>
                                    <m:rPr/>
                                    <w:rPr>
                                      <w:rFonts w:ascii="Cambria Math" w:hAnsi="Cambria Math"/>
                                      <w:u w:val="none"/>
                                    </w:rPr>
                                    <m:t>N</m:t>
                                  </m:r>
                                  <m:ctrlPr>
                                    <w:rPr>
                                      <w:rFonts w:ascii="Cambria Math" w:hAnsi="Cambria Math"/>
                                      <w:i/>
                                      <w:iCs/>
                                      <w:u w:val="none"/>
                                    </w:rPr>
                                  </m:ctrlPr>
                                </m:e>
                                <m:sub>
                                  <m:r>
                                    <m:rPr/>
                                    <w:rPr>
                                      <w:rFonts w:ascii="Cambria Math" w:hAnsi="Cambria Math"/>
                                      <w:u w:val="none"/>
                                    </w:rPr>
                                    <m:t>PRS</m:t>
                                  </m:r>
                                  <m:r>
                                    <m:rPr>
                                      <m:nor/>
                                    </m:rPr>
                                    <w:rPr>
                                      <w:rFonts w:ascii="Cambria Math" w:hAnsi="Cambria Math"/>
                                      <w:b w:val="0"/>
                                      <w:i/>
                                      <w:iCs/>
                                      <w:u w:val="none"/>
                                    </w:rPr>
                                    <m:t>,i</m:t>
                                  </m:r>
                                  <m:ctrlPr>
                                    <w:rPr>
                                      <w:rFonts w:ascii="Cambria Math" w:hAnsi="Cambria Math"/>
                                      <w:i/>
                                      <w:iCs/>
                                      <w:u w:val="none"/>
                                    </w:rPr>
                                  </m:ctrlPr>
                                </m:sub>
                                <m:sup>
                                  <m:r>
                                    <m:rPr/>
                                    <w:rPr>
                                      <w:rFonts w:ascii="Cambria Math" w:hAnsi="Cambria Math"/>
                                      <w:u w:val="none"/>
                                    </w:rPr>
                                    <m:t>slot</m:t>
                                  </m:r>
                                  <m:ctrlPr>
                                    <w:rPr>
                                      <w:rFonts w:ascii="Cambria Math" w:hAnsi="Cambria Math"/>
                                      <w:i/>
                                      <w:iCs/>
                                      <w:u w:val="none"/>
                                    </w:rPr>
                                  </m:ctrlPr>
                                </m:sup>
                              </m:sSubSup>
                              <m:ctrlPr>
                                <w:rPr>
                                  <w:rFonts w:ascii="Cambria Math" w:hAnsi="Cambria Math"/>
                                  <w:i/>
                                  <w:iCs/>
                                  <w:u w:val="none"/>
                                </w:rPr>
                              </m:ctrlPr>
                            </m:num>
                            <m:den>
                              <m:sSup>
                                <m:sSupPr>
                                  <m:ctrlPr>
                                    <w:rPr>
                                      <w:rFonts w:ascii="Cambria Math" w:hAnsi="Cambria Math"/>
                                      <w:i/>
                                      <w:iCs/>
                                      <w:u w:val="none"/>
                                    </w:rPr>
                                  </m:ctrlPr>
                                </m:sSupPr>
                                <m:e>
                                  <m:r>
                                    <m:rPr/>
                                    <w:rPr>
                                      <w:rFonts w:ascii="Cambria Math" w:hAnsi="Cambria Math"/>
                                      <w:u w:val="none"/>
                                    </w:rPr>
                                    <m:t>N</m:t>
                                  </m:r>
                                  <m:ctrlPr>
                                    <w:rPr>
                                      <w:rFonts w:ascii="Cambria Math" w:hAnsi="Cambria Math"/>
                                      <w:i/>
                                      <w:iCs/>
                                      <w:u w:val="none"/>
                                    </w:rPr>
                                  </m:ctrlPr>
                                </m:e>
                                <m:sup>
                                  <m:r>
                                    <m:rPr/>
                                    <w:rPr>
                                      <w:rFonts w:hint="eastAsia" w:ascii="Cambria Math" w:hAnsi="Cambria Math"/>
                                      <w:u w:val="none"/>
                                    </w:rPr>
                                    <m:t>'</m:t>
                                  </m:r>
                                  <m:ctrlPr>
                                    <w:rPr>
                                      <w:rFonts w:ascii="Cambria Math" w:hAnsi="Cambria Math"/>
                                      <w:i/>
                                      <w:iCs/>
                                      <w:u w:val="none"/>
                                    </w:rPr>
                                  </m:ctrlPr>
                                </m:sup>
                              </m:sSup>
                              <m:ctrlPr>
                                <w:rPr>
                                  <w:rFonts w:ascii="Cambria Math" w:hAnsi="Cambria Math"/>
                                  <w:i/>
                                  <w:iCs/>
                                  <w:u w:val="none"/>
                                </w:rPr>
                              </m:ctrlPr>
                            </m:den>
                          </m:f>
                          <m:ctrlPr>
                            <w:rPr>
                              <w:rFonts w:ascii="Cambria Math" w:hAnsi="Cambria Math"/>
                              <w:i/>
                              <w:iCs/>
                              <w:u w:val="none"/>
                            </w:rPr>
                          </m:ctrlPr>
                        </m:e>
                      </m:d>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
                                <m:sSubPr>
                                  <m:ctrlPr>
                                    <w:rPr>
                                      <w:rFonts w:ascii="Cambria Math" w:hAnsi="Cambria Math"/>
                                      <w:i/>
                                      <w:iCs/>
                                      <w:u w:val="none"/>
                                      <w:lang w:eastAsia="zh-CN"/>
                                    </w:rPr>
                                  </m:ctrlPr>
                                </m:sSubPr>
                                <m:e>
                                  <m:r>
                                    <m:rPr/>
                                    <w:rPr>
                                      <w:rFonts w:ascii="Cambria Math" w:hAnsi="Cambria Math"/>
                                      <w:u w:val="none"/>
                                      <w:lang w:eastAsia="zh-CN"/>
                                    </w:rPr>
                                    <m:t>L</m:t>
                                  </m:r>
                                  <m:ctrlPr>
                                    <w:rPr>
                                      <w:rFonts w:ascii="Cambria Math" w:hAnsi="Cambria Math"/>
                                      <w:i/>
                                      <w:iCs/>
                                      <w:u w:val="none"/>
                                      <w:lang w:eastAsia="zh-CN"/>
                                    </w:rPr>
                                  </m:ctrlPr>
                                </m:e>
                                <m:sub>
                                  <m:r>
                                    <m:rPr/>
                                    <w:rPr>
                                      <w:rFonts w:ascii="Cambria Math" w:hAnsi="Cambria Math"/>
                                      <w:u w:val="none"/>
                                      <w:lang w:eastAsia="zh-CN"/>
                                    </w:rPr>
                                    <m:t>available_PRS</m:t>
                                  </m:r>
                                  <m:r>
                                    <m:rPr/>
                                    <w:rPr>
                                      <w:rFonts w:hint="default" w:ascii="Cambria Math" w:hAnsi="Cambria Math"/>
                                      <w:u w:val="none"/>
                                      <w:lang w:eastAsia="zh-CN"/>
                                    </w:rPr>
                                    <m:t>,i</m:t>
                                  </m:r>
                                  <m:ctrlPr>
                                    <w:rPr>
                                      <w:rFonts w:ascii="Cambria Math" w:hAnsi="Cambria Math"/>
                                      <w:i/>
                                      <w:iCs/>
                                      <w:u w:val="none"/>
                                      <w:lang w:eastAsia="zh-CN"/>
                                    </w:rPr>
                                  </m:ctrlPr>
                                </m:sub>
                              </m:sSub>
                              <m:ctrlPr>
                                <w:rPr>
                                  <w:rFonts w:ascii="Cambria Math" w:hAnsi="Cambria Math"/>
                                  <w:i/>
                                  <w:iCs/>
                                  <w:u w:val="none"/>
                                </w:rPr>
                              </m:ctrlPr>
                            </m:num>
                            <m:den>
                              <m:r>
                                <m:rPr/>
                                <w:rPr>
                                  <w:rFonts w:ascii="Cambria Math" w:hAnsi="Cambria Math"/>
                                  <w:u w:val="none"/>
                                </w:rPr>
                                <m:t>N</m:t>
                              </m:r>
                              <m:ctrlPr>
                                <w:rPr>
                                  <w:rFonts w:ascii="Cambria Math" w:hAnsi="Cambria Math"/>
                                  <w:i/>
                                  <w:iCs/>
                                  <w:u w:val="none"/>
                                </w:rPr>
                              </m:ctrlPr>
                            </m:den>
                          </m:f>
                          <m:ctrlPr>
                            <w:rPr>
                              <w:rFonts w:ascii="Cambria Math" w:hAnsi="Cambria Math"/>
                              <w:i/>
                              <w:iCs/>
                              <w:u w:val="none"/>
                            </w:rPr>
                          </m:ctrlPr>
                        </m:e>
                      </m:d>
                      <m:r>
                        <m:rPr/>
                        <w:rPr>
                          <w:rFonts w:ascii="Cambria Math" w:hAnsi="Cambria Math"/>
                          <w:u w:val="none"/>
                          <w:lang w:eastAsia="zh-CN"/>
                        </w:rPr>
                        <m:t>∗</m:t>
                      </m:r>
                      <m:sSub>
                        <m:sSubPr>
                          <m:ctrlPr>
                            <w:rPr>
                              <w:rFonts w:ascii="Cambria Math" w:hAnsi="Cambria Math"/>
                              <w:i/>
                              <w:iCs/>
                              <w:u w:val="none"/>
                            </w:rPr>
                          </m:ctrlPr>
                        </m:sSubPr>
                        <m:e>
                          <m:r>
                            <m:rPr/>
                            <w:rPr>
                              <w:rFonts w:ascii="Cambria Math" w:hAnsi="Cambria Math"/>
                              <w:u w:val="none"/>
                            </w:rPr>
                            <m:t>N</m:t>
                          </m:r>
                          <m:ctrlPr>
                            <w:rPr>
                              <w:rFonts w:ascii="Cambria Math" w:hAnsi="Cambria Math"/>
                              <w:i/>
                              <w:iCs/>
                              <w:u w:val="none"/>
                            </w:rPr>
                          </m:ctrlPr>
                        </m:e>
                        <m:sub>
                          <m:r>
                            <m:rPr/>
                            <w:rPr>
                              <w:rFonts w:ascii="Cambria Math" w:hAnsi="Cambria Math"/>
                              <w:u w:val="none"/>
                            </w:rPr>
                            <m:t>sample</m:t>
                          </m:r>
                          <m:ctrlPr>
                            <w:rPr>
                              <w:rFonts w:ascii="Cambria Math" w:hAnsi="Cambria Math"/>
                              <w:i/>
                              <w:iCs/>
                              <w:u w:val="none"/>
                            </w:rPr>
                          </m:ctrlPr>
                        </m:sub>
                      </m:sSub>
                      <m:r>
                        <m:rPr/>
                        <w:rPr>
                          <w:rFonts w:ascii="Cambria Math" w:hAnsi="Cambria Math"/>
                          <w:u w:val="none"/>
                        </w:rPr>
                        <m:t>−1</m:t>
                      </m:r>
                      <m:ctrlPr>
                        <w:rPr>
                          <w:rFonts w:ascii="Cambria Math" w:hAnsi="Cambria Math"/>
                          <w:i/>
                          <w:iCs/>
                          <w:u w:val="none"/>
                        </w:rPr>
                      </m:ctrlPr>
                    </m:e>
                  </m:d>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effect,i</m:t>
                  </m:r>
                  <m:ctrlPr>
                    <w:rPr>
                      <w:rFonts w:ascii="Cambria Math" w:hAnsi="Cambria Math"/>
                      <w:i/>
                      <w:iCs/>
                      <w:u w:val="none"/>
                    </w:rPr>
                  </m:ctrlPr>
                </m:sub>
              </m:sSub>
              <m:r>
                <m:rPr/>
                <w:rPr>
                  <w:rFonts w:ascii="Cambria Math" w:hAnsi="Cambria Math"/>
                  <w:u w:val="none"/>
                  <w:lang w:eastAsia="zh-CN"/>
                </w:rPr>
                <m:t>+</m:t>
              </m:r>
              <m:sSub>
                <m:sSubPr>
                  <m:ctrlPr>
                    <w:rPr>
                      <w:rFonts w:ascii="Cambria Math" w:hAnsi="Cambria Math"/>
                      <w:i/>
                      <w:iCs/>
                      <w:u w:val="none"/>
                    </w:rPr>
                  </m:ctrlPr>
                </m:sSubPr>
                <m:e>
                  <m:r>
                    <m:rPr>
                      <m:nor/>
                    </m:rPr>
                    <w:rPr>
                      <w:rFonts w:ascii="Cambria Math" w:hAnsi="Cambria Math"/>
                      <w:b w:val="0"/>
                      <w:i/>
                      <w:iCs/>
                      <w:u w:val="none"/>
                    </w:rPr>
                    <m:t>T</m:t>
                  </m:r>
                  <m:ctrlPr>
                    <w:rPr>
                      <w:rFonts w:ascii="Cambria Math" w:hAnsi="Cambria Math"/>
                      <w:i/>
                      <w:iCs/>
                      <w:u w:val="none"/>
                    </w:rPr>
                  </m:ctrlPr>
                </m:e>
                <m:sub>
                  <m:r>
                    <m:rPr>
                      <m:nor/>
                    </m:rPr>
                    <w:rPr>
                      <w:rFonts w:ascii="Cambria Math" w:hAnsi="Cambria Math"/>
                      <w:b w:val="0"/>
                      <w:i/>
                      <w:iCs/>
                      <w:u w:val="none"/>
                    </w:rPr>
                    <m:t>last</m:t>
                  </m:r>
                  <m:r>
                    <m:rPr/>
                    <w:rPr>
                      <w:rFonts w:hint="default" w:ascii="Cambria Math" w:hAnsi="Cambria Math"/>
                      <w:u w:val="none"/>
                    </w:rPr>
                    <m:t>,i</m:t>
                  </m:r>
                  <m:ctrlPr>
                    <w:rPr>
                      <w:rFonts w:ascii="Cambria Math" w:hAnsi="Cambria Math"/>
                      <w:i/>
                      <w:iCs/>
                      <w:u w:val="none"/>
                    </w:rPr>
                  </m:ctrlPr>
                </m:sub>
              </m:sSub>
            </m:oMath>
            <w:r>
              <w:rPr>
                <w:i/>
                <w:iCs/>
                <w:u w:val="none"/>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The legacy requirements in R17 defined without considering the PRS bandwidth aggregation and measure them across the different PFLs as we mentioned before and we shall consider the in CA scenario measurement period are not measured separately on multiple aggregated PFLs but UE also receive and measure all target PRS resources, so the different PRS periodicities in different PFLs shall be considered since it will influence measurement time. We assume that the periodicity of PRS from different PFLs is the same, it fits the PRS bandwidth aggregation when do the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b/>
          <w:bCs/>
          <w:sz w:val="22"/>
          <w:szCs w:val="22"/>
          <w:lang w:val="en-US" w:eastAsia="zh-CN"/>
        </w:rPr>
        <w:t>Observation 2: The PRS periodicities from different PFLs are the same and it is not the strong influence factor when defining the measurement period</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3: The legacy measurement period in R17 can be as baseline when defining the new measurement period for PRS bandwidth aggregation.</w:t>
      </w:r>
    </w:p>
    <w:p>
      <w:pPr>
        <w:pStyle w:val="74"/>
        <w:rPr>
          <w:lang w:val="en-US"/>
        </w:rPr>
      </w:pPr>
      <w:r>
        <w:rPr>
          <w:lang w:val="en-US"/>
        </w:rPr>
        <w:t>Conclusion</w:t>
      </w:r>
    </w:p>
    <w:p>
      <w:pPr>
        <w:rPr>
          <w:lang w:val="en-GB"/>
        </w:rPr>
      </w:pPr>
      <w:r>
        <w:rPr>
          <w:lang w:val="en-GB"/>
        </w:rPr>
        <w:t xml:space="preserve">The following </w:t>
      </w:r>
      <w:r>
        <w:rPr>
          <w:rFonts w:hint="eastAsia" w:eastAsia="宋体"/>
          <w:lang w:val="en-US" w:eastAsia="zh-CN"/>
        </w:rPr>
        <w:t xml:space="preserve">observations and </w:t>
      </w:r>
      <w:r>
        <w:rPr>
          <w:lang w:val="en-GB"/>
        </w:rPr>
        <w:t>proposals are made.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lang w:val="en-GB"/>
        </w:rPr>
      </w:pPr>
      <w:r>
        <w:rPr>
          <w:rFonts w:hint="eastAsia"/>
          <w:b/>
          <w:bCs/>
          <w:sz w:val="22"/>
          <w:szCs w:val="22"/>
          <w:lang w:val="en-US" w:eastAsia="zh-CN"/>
        </w:rPr>
        <w:t>Proposal 1:  RAN4 shall continue to wait on further RAN1 agreements related to maximum total aggregated bandwidth for PRS/SRS and on equal/unequal bandwidths of aggregated PFLs</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RAN1 had several agreements for enabling PRS bandwidth aggregation between PRS in two or three different PFLs, and in the latest two meetings the conditions which should be satisfied for the aggregated PRS resources from a TRP across the aggregated PFLs were proposed.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2: RAN4 shall study the core requirements based on the current RAN1 progress and outcomes.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b/>
          <w:bCs/>
          <w:sz w:val="22"/>
          <w:szCs w:val="22"/>
          <w:lang w:val="en-US" w:eastAsia="zh-CN"/>
        </w:rPr>
        <w:t>Observation 2: The PRS periodicities from different PFLs are the same and it is not the strong influence factor when defining the measurement period</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3: The legacy measurement period in R17 can be as baseline when defining the new measurement period for PRS bandwidth aggregation.</w:t>
      </w:r>
    </w:p>
    <w:p>
      <w:pPr>
        <w:pStyle w:val="74"/>
        <w:numPr>
          <w:ilvl w:val="0"/>
          <w:numId w:val="0"/>
        </w:numPr>
        <w:ind w:left="360" w:hanging="360"/>
        <w:rPr>
          <w:lang w:val="en-US"/>
        </w:rPr>
      </w:pPr>
      <w:r>
        <w:rPr>
          <w:lang w:val="en-US"/>
        </w:rPr>
        <w:t>References</w:t>
      </w:r>
    </w:p>
    <w:p>
      <w:pPr>
        <w:pStyle w:val="70"/>
        <w:numPr>
          <w:ilvl w:val="0"/>
          <w:numId w:val="7"/>
        </w:numPr>
        <w:ind w:right="-22"/>
      </w:pPr>
      <w:bookmarkStart w:id="0" w:name="_Ref114500673"/>
      <w:bookmarkEnd w:id="0"/>
      <w:r>
        <w:t>RP-2</w:t>
      </w:r>
      <w:r>
        <w:rPr>
          <w:rFonts w:hint="eastAsia" w:eastAsia="宋体"/>
          <w:lang w:val="en-US" w:eastAsia="zh-CN"/>
        </w:rPr>
        <w:t>30328</w:t>
      </w:r>
      <w:r>
        <w:t>, “Study on expanded and improved NR positioning”, Intel Corporation</w:t>
      </w:r>
    </w:p>
    <w:p>
      <w:pPr>
        <w:pStyle w:val="70"/>
        <w:numPr>
          <w:ilvl w:val="0"/>
          <w:numId w:val="7"/>
        </w:numPr>
        <w:ind w:right="-22"/>
      </w:pPr>
      <w:r>
        <w:t>R4-2</w:t>
      </w:r>
      <w:r>
        <w:rPr>
          <w:rFonts w:hint="eastAsia" w:eastAsia="宋体"/>
          <w:lang w:val="en-US" w:eastAsia="zh-CN"/>
        </w:rPr>
        <w:t>310072</w:t>
      </w:r>
      <w:r>
        <w:t xml:space="preserve">, “WF on expanded and improved NR positioning study”, </w:t>
      </w:r>
      <w:r>
        <w:rPr>
          <w:rFonts w:hint="eastAsia" w:eastAsia="宋体"/>
          <w:lang w:val="en-US" w:eastAsia="zh-CN"/>
        </w:rPr>
        <w:t>Ericsson</w:t>
      </w:r>
    </w:p>
    <w:p>
      <w:pPr>
        <w:pStyle w:val="70"/>
        <w:numPr>
          <w:ilvl w:val="0"/>
          <w:numId w:val="7"/>
        </w:numPr>
        <w:ind w:right="-22"/>
      </w:pPr>
      <w:r>
        <w:t>3GPP TR 38.859 V0.1.0, “Study on Expanded and Improved NR Positioning (Release 18)”</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
    <w:nsid w:val="58B73482"/>
    <w:multiLevelType w:val="multilevel"/>
    <w:tmpl w:val="58B73482"/>
    <w:lvl w:ilvl="0" w:tentative="0">
      <w:start w:val="1"/>
      <w:numFmt w:val="bullet"/>
      <w:lvlText w:val=""/>
      <w:lvlJc w:val="left"/>
      <w:pPr>
        <w:ind w:left="636" w:hanging="360"/>
      </w:pPr>
      <w:rPr>
        <w:rFonts w:hint="default" w:ascii="Symbol" w:hAnsi="Symbol"/>
      </w:rPr>
    </w:lvl>
    <w:lvl w:ilvl="1" w:tentative="0">
      <w:start w:val="1"/>
      <w:numFmt w:val="bullet"/>
      <w:lvlText w:val="o"/>
      <w:lvlJc w:val="left"/>
      <w:pPr>
        <w:ind w:left="1356" w:hanging="360"/>
      </w:pPr>
      <w:rPr>
        <w:rFonts w:hint="default" w:ascii="Courier New" w:hAnsi="Courier New" w:cs="Courier New"/>
      </w:rPr>
    </w:lvl>
    <w:lvl w:ilvl="2" w:tentative="0">
      <w:start w:val="1"/>
      <w:numFmt w:val="bullet"/>
      <w:lvlText w:val=""/>
      <w:lvlJc w:val="left"/>
      <w:pPr>
        <w:ind w:left="2076" w:hanging="360"/>
      </w:pPr>
      <w:rPr>
        <w:rFonts w:hint="default" w:ascii="Wingdings" w:hAnsi="Wingdings"/>
      </w:rPr>
    </w:lvl>
    <w:lvl w:ilvl="3" w:tentative="0">
      <w:start w:val="1"/>
      <w:numFmt w:val="bullet"/>
      <w:lvlText w:val=""/>
      <w:lvlJc w:val="left"/>
      <w:pPr>
        <w:ind w:left="2796" w:hanging="360"/>
      </w:pPr>
      <w:rPr>
        <w:rFonts w:hint="default" w:ascii="Symbol" w:hAnsi="Symbol"/>
      </w:rPr>
    </w:lvl>
    <w:lvl w:ilvl="4" w:tentative="0">
      <w:start w:val="1"/>
      <w:numFmt w:val="bullet"/>
      <w:lvlText w:val="o"/>
      <w:lvlJc w:val="left"/>
      <w:pPr>
        <w:ind w:left="3516" w:hanging="360"/>
      </w:pPr>
      <w:rPr>
        <w:rFonts w:hint="default" w:ascii="Courier New" w:hAnsi="Courier New" w:cs="Courier New"/>
      </w:rPr>
    </w:lvl>
    <w:lvl w:ilvl="5" w:tentative="0">
      <w:start w:val="1"/>
      <w:numFmt w:val="bullet"/>
      <w:lvlText w:val=""/>
      <w:lvlJc w:val="left"/>
      <w:pPr>
        <w:ind w:left="4236" w:hanging="360"/>
      </w:pPr>
      <w:rPr>
        <w:rFonts w:hint="default" w:ascii="Wingdings" w:hAnsi="Wingdings"/>
      </w:rPr>
    </w:lvl>
    <w:lvl w:ilvl="6" w:tentative="0">
      <w:start w:val="1"/>
      <w:numFmt w:val="bullet"/>
      <w:lvlText w:val=""/>
      <w:lvlJc w:val="left"/>
      <w:pPr>
        <w:ind w:left="4956" w:hanging="360"/>
      </w:pPr>
      <w:rPr>
        <w:rFonts w:hint="default" w:ascii="Symbol" w:hAnsi="Symbol"/>
      </w:rPr>
    </w:lvl>
    <w:lvl w:ilvl="7" w:tentative="0">
      <w:start w:val="1"/>
      <w:numFmt w:val="bullet"/>
      <w:lvlText w:val="o"/>
      <w:lvlJc w:val="left"/>
      <w:pPr>
        <w:ind w:left="5676" w:hanging="360"/>
      </w:pPr>
      <w:rPr>
        <w:rFonts w:hint="default" w:ascii="Courier New" w:hAnsi="Courier New" w:cs="Courier New"/>
      </w:rPr>
    </w:lvl>
    <w:lvl w:ilvl="8" w:tentative="0">
      <w:start w:val="1"/>
      <w:numFmt w:val="bullet"/>
      <w:lvlText w:val=""/>
      <w:lvlJc w:val="left"/>
      <w:pPr>
        <w:ind w:left="6396" w:hanging="360"/>
      </w:pPr>
      <w:rPr>
        <w:rFonts w:hint="default" w:ascii="Wingdings" w:hAnsi="Wingdings"/>
      </w:rPr>
    </w:lvl>
  </w:abstractNum>
  <w:abstractNum w:abstractNumId="2">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6"/>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79B6"/>
    <w:rsid w:val="002840A1"/>
    <w:rsid w:val="002B6339"/>
    <w:rsid w:val="002E00EE"/>
    <w:rsid w:val="002F75B1"/>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66C59"/>
    <w:rsid w:val="00F76708"/>
    <w:rsid w:val="00F7733E"/>
    <w:rsid w:val="00F80895"/>
    <w:rsid w:val="00F9008D"/>
    <w:rsid w:val="00FA1266"/>
    <w:rsid w:val="00FC1192"/>
    <w:rsid w:val="01457ED6"/>
    <w:rsid w:val="01555FC5"/>
    <w:rsid w:val="01580E70"/>
    <w:rsid w:val="015857D3"/>
    <w:rsid w:val="01907C39"/>
    <w:rsid w:val="01BC5539"/>
    <w:rsid w:val="027313F4"/>
    <w:rsid w:val="02AD5C00"/>
    <w:rsid w:val="02B51BBB"/>
    <w:rsid w:val="02D447D2"/>
    <w:rsid w:val="02F606FB"/>
    <w:rsid w:val="03384693"/>
    <w:rsid w:val="037E0647"/>
    <w:rsid w:val="0398423F"/>
    <w:rsid w:val="03AD71D3"/>
    <w:rsid w:val="040E2D4A"/>
    <w:rsid w:val="041C4308"/>
    <w:rsid w:val="044012A9"/>
    <w:rsid w:val="046301A2"/>
    <w:rsid w:val="04BA6C01"/>
    <w:rsid w:val="04E13F4A"/>
    <w:rsid w:val="05067815"/>
    <w:rsid w:val="054929AB"/>
    <w:rsid w:val="05945A70"/>
    <w:rsid w:val="059F2151"/>
    <w:rsid w:val="05DB67C3"/>
    <w:rsid w:val="05FE0EF5"/>
    <w:rsid w:val="069C1BFD"/>
    <w:rsid w:val="06A745C7"/>
    <w:rsid w:val="06C73BF6"/>
    <w:rsid w:val="06E966B3"/>
    <w:rsid w:val="07150A56"/>
    <w:rsid w:val="074C5E55"/>
    <w:rsid w:val="075560E1"/>
    <w:rsid w:val="076170B1"/>
    <w:rsid w:val="0771776A"/>
    <w:rsid w:val="0788005C"/>
    <w:rsid w:val="079F65E1"/>
    <w:rsid w:val="07EC1E65"/>
    <w:rsid w:val="07F66AC5"/>
    <w:rsid w:val="080843A7"/>
    <w:rsid w:val="081420BA"/>
    <w:rsid w:val="081732C0"/>
    <w:rsid w:val="08230CD1"/>
    <w:rsid w:val="083F59D2"/>
    <w:rsid w:val="084C657D"/>
    <w:rsid w:val="086461A7"/>
    <w:rsid w:val="08D850A7"/>
    <w:rsid w:val="08F22836"/>
    <w:rsid w:val="09005754"/>
    <w:rsid w:val="09606948"/>
    <w:rsid w:val="096E0D4F"/>
    <w:rsid w:val="09851B6E"/>
    <w:rsid w:val="098C6AAD"/>
    <w:rsid w:val="099A2A98"/>
    <w:rsid w:val="09A722C6"/>
    <w:rsid w:val="09D57D44"/>
    <w:rsid w:val="09EA1DC6"/>
    <w:rsid w:val="0A2D71D6"/>
    <w:rsid w:val="0A3664F1"/>
    <w:rsid w:val="0A521B30"/>
    <w:rsid w:val="0A5B305B"/>
    <w:rsid w:val="0A6C3BCC"/>
    <w:rsid w:val="0ABC02E8"/>
    <w:rsid w:val="0AD15EE4"/>
    <w:rsid w:val="0B1B3502"/>
    <w:rsid w:val="0B3F6621"/>
    <w:rsid w:val="0B4D684B"/>
    <w:rsid w:val="0B6A4840"/>
    <w:rsid w:val="0B707256"/>
    <w:rsid w:val="0B863CAE"/>
    <w:rsid w:val="0BAB09BD"/>
    <w:rsid w:val="0BFD1F48"/>
    <w:rsid w:val="0C0D74EA"/>
    <w:rsid w:val="0C120ED6"/>
    <w:rsid w:val="0CC050E4"/>
    <w:rsid w:val="0CE67779"/>
    <w:rsid w:val="0CF64B6C"/>
    <w:rsid w:val="0CFC76A9"/>
    <w:rsid w:val="0D377674"/>
    <w:rsid w:val="0D8972A3"/>
    <w:rsid w:val="0DAC1BB6"/>
    <w:rsid w:val="0DC25C48"/>
    <w:rsid w:val="0E1E4B1A"/>
    <w:rsid w:val="0E2D081B"/>
    <w:rsid w:val="0E304771"/>
    <w:rsid w:val="0E777792"/>
    <w:rsid w:val="0E830A04"/>
    <w:rsid w:val="0ED6239A"/>
    <w:rsid w:val="0EE1225A"/>
    <w:rsid w:val="0F025E2E"/>
    <w:rsid w:val="0F19776F"/>
    <w:rsid w:val="0F503AEA"/>
    <w:rsid w:val="0F511411"/>
    <w:rsid w:val="0FAF5D2E"/>
    <w:rsid w:val="0FB63F96"/>
    <w:rsid w:val="0FDB4972"/>
    <w:rsid w:val="0FDE4688"/>
    <w:rsid w:val="0FF0503B"/>
    <w:rsid w:val="10347810"/>
    <w:rsid w:val="103D3F2B"/>
    <w:rsid w:val="10BB3068"/>
    <w:rsid w:val="10C531CC"/>
    <w:rsid w:val="11846297"/>
    <w:rsid w:val="11947EDC"/>
    <w:rsid w:val="11C02A89"/>
    <w:rsid w:val="11EE75FC"/>
    <w:rsid w:val="11FC4C7B"/>
    <w:rsid w:val="12560E11"/>
    <w:rsid w:val="128B68B0"/>
    <w:rsid w:val="12C003F7"/>
    <w:rsid w:val="12D01E4D"/>
    <w:rsid w:val="12D04199"/>
    <w:rsid w:val="12E10C90"/>
    <w:rsid w:val="13341216"/>
    <w:rsid w:val="13552E77"/>
    <w:rsid w:val="138107A9"/>
    <w:rsid w:val="139B3D83"/>
    <w:rsid w:val="13A16E2D"/>
    <w:rsid w:val="13AE0DDA"/>
    <w:rsid w:val="13C23A1B"/>
    <w:rsid w:val="14137223"/>
    <w:rsid w:val="142A2204"/>
    <w:rsid w:val="145B66A3"/>
    <w:rsid w:val="14785DC8"/>
    <w:rsid w:val="148808F1"/>
    <w:rsid w:val="14A63B80"/>
    <w:rsid w:val="14AA405D"/>
    <w:rsid w:val="14EE16A4"/>
    <w:rsid w:val="150B02A5"/>
    <w:rsid w:val="155326B6"/>
    <w:rsid w:val="157108D1"/>
    <w:rsid w:val="15780852"/>
    <w:rsid w:val="157C2EEB"/>
    <w:rsid w:val="15917289"/>
    <w:rsid w:val="15950B53"/>
    <w:rsid w:val="15E51A22"/>
    <w:rsid w:val="1646133C"/>
    <w:rsid w:val="169A4ADB"/>
    <w:rsid w:val="16AA061C"/>
    <w:rsid w:val="16CD4CA5"/>
    <w:rsid w:val="16E84E9D"/>
    <w:rsid w:val="16F43737"/>
    <w:rsid w:val="170716B6"/>
    <w:rsid w:val="17104EF2"/>
    <w:rsid w:val="173D628D"/>
    <w:rsid w:val="1743780F"/>
    <w:rsid w:val="175017ED"/>
    <w:rsid w:val="175C4A8E"/>
    <w:rsid w:val="176F3F08"/>
    <w:rsid w:val="17CD588E"/>
    <w:rsid w:val="17D01F3A"/>
    <w:rsid w:val="17EF1163"/>
    <w:rsid w:val="17FF14ED"/>
    <w:rsid w:val="1811483D"/>
    <w:rsid w:val="18244E65"/>
    <w:rsid w:val="184632DE"/>
    <w:rsid w:val="184A62E0"/>
    <w:rsid w:val="185A42FA"/>
    <w:rsid w:val="1874058F"/>
    <w:rsid w:val="18A8677B"/>
    <w:rsid w:val="18E96032"/>
    <w:rsid w:val="18EE62E8"/>
    <w:rsid w:val="1950368A"/>
    <w:rsid w:val="19551A74"/>
    <w:rsid w:val="195A1855"/>
    <w:rsid w:val="195C2D9C"/>
    <w:rsid w:val="19643B11"/>
    <w:rsid w:val="197C2433"/>
    <w:rsid w:val="19867C86"/>
    <w:rsid w:val="19B64E0D"/>
    <w:rsid w:val="19D756DD"/>
    <w:rsid w:val="1A0158A0"/>
    <w:rsid w:val="1A2553BA"/>
    <w:rsid w:val="1A367AD8"/>
    <w:rsid w:val="1A547F80"/>
    <w:rsid w:val="1A5A6EC2"/>
    <w:rsid w:val="1A6C30C8"/>
    <w:rsid w:val="1AC1611F"/>
    <w:rsid w:val="1AC56317"/>
    <w:rsid w:val="1AD65135"/>
    <w:rsid w:val="1AD97202"/>
    <w:rsid w:val="1ADA7A22"/>
    <w:rsid w:val="1AED3950"/>
    <w:rsid w:val="1B0A73AC"/>
    <w:rsid w:val="1B1104FB"/>
    <w:rsid w:val="1B481120"/>
    <w:rsid w:val="1B4E67D5"/>
    <w:rsid w:val="1B777BC9"/>
    <w:rsid w:val="1B953EDB"/>
    <w:rsid w:val="1B990279"/>
    <w:rsid w:val="1B9B4E1C"/>
    <w:rsid w:val="1B9C50E9"/>
    <w:rsid w:val="1BA81597"/>
    <w:rsid w:val="1BAD4429"/>
    <w:rsid w:val="1BB80557"/>
    <w:rsid w:val="1C0C6E69"/>
    <w:rsid w:val="1C0D3F01"/>
    <w:rsid w:val="1C2C3033"/>
    <w:rsid w:val="1C733635"/>
    <w:rsid w:val="1C9A66FC"/>
    <w:rsid w:val="1CDA0DB5"/>
    <w:rsid w:val="1D1D542F"/>
    <w:rsid w:val="1D3064BB"/>
    <w:rsid w:val="1D786282"/>
    <w:rsid w:val="1DB553DF"/>
    <w:rsid w:val="1DE30818"/>
    <w:rsid w:val="1E194EC7"/>
    <w:rsid w:val="1E3F4F33"/>
    <w:rsid w:val="1EAD4127"/>
    <w:rsid w:val="1EB77760"/>
    <w:rsid w:val="1EB8797A"/>
    <w:rsid w:val="1ED004D7"/>
    <w:rsid w:val="1EEB4161"/>
    <w:rsid w:val="1EEF3FAB"/>
    <w:rsid w:val="1F25251D"/>
    <w:rsid w:val="1F2F4901"/>
    <w:rsid w:val="1F305956"/>
    <w:rsid w:val="1F3869FB"/>
    <w:rsid w:val="1F3F1CC1"/>
    <w:rsid w:val="1F430FAA"/>
    <w:rsid w:val="1F655CF0"/>
    <w:rsid w:val="1F7B03C5"/>
    <w:rsid w:val="1F7E201D"/>
    <w:rsid w:val="1F9B774C"/>
    <w:rsid w:val="1FBB5482"/>
    <w:rsid w:val="1FF9177B"/>
    <w:rsid w:val="1FFD1F53"/>
    <w:rsid w:val="200D64BE"/>
    <w:rsid w:val="202946BE"/>
    <w:rsid w:val="202D06F1"/>
    <w:rsid w:val="203A7FDB"/>
    <w:rsid w:val="20584BED"/>
    <w:rsid w:val="20995AB3"/>
    <w:rsid w:val="20AF3B3A"/>
    <w:rsid w:val="20BB5B68"/>
    <w:rsid w:val="210D6CE7"/>
    <w:rsid w:val="21361FB5"/>
    <w:rsid w:val="21412720"/>
    <w:rsid w:val="214B3D89"/>
    <w:rsid w:val="21575426"/>
    <w:rsid w:val="2177769E"/>
    <w:rsid w:val="21820417"/>
    <w:rsid w:val="219C3A39"/>
    <w:rsid w:val="219F37C5"/>
    <w:rsid w:val="22084B81"/>
    <w:rsid w:val="221C2B01"/>
    <w:rsid w:val="22CA5C07"/>
    <w:rsid w:val="230D3451"/>
    <w:rsid w:val="23165742"/>
    <w:rsid w:val="235141D1"/>
    <w:rsid w:val="236364F7"/>
    <w:rsid w:val="238C0530"/>
    <w:rsid w:val="23CE12F9"/>
    <w:rsid w:val="23EB4621"/>
    <w:rsid w:val="24034BF3"/>
    <w:rsid w:val="244B441E"/>
    <w:rsid w:val="24582668"/>
    <w:rsid w:val="247A3E32"/>
    <w:rsid w:val="247C113F"/>
    <w:rsid w:val="24971D9F"/>
    <w:rsid w:val="24B729DF"/>
    <w:rsid w:val="24E505FF"/>
    <w:rsid w:val="2505774C"/>
    <w:rsid w:val="250C43B4"/>
    <w:rsid w:val="25425A19"/>
    <w:rsid w:val="258C11BB"/>
    <w:rsid w:val="25AB3D1C"/>
    <w:rsid w:val="25FA44CF"/>
    <w:rsid w:val="26014A29"/>
    <w:rsid w:val="26274BB6"/>
    <w:rsid w:val="262F0D25"/>
    <w:rsid w:val="26381768"/>
    <w:rsid w:val="26AA20D3"/>
    <w:rsid w:val="26B27284"/>
    <w:rsid w:val="26F81EB4"/>
    <w:rsid w:val="271834C3"/>
    <w:rsid w:val="271F0AE2"/>
    <w:rsid w:val="27310B9A"/>
    <w:rsid w:val="273E1C11"/>
    <w:rsid w:val="27446B14"/>
    <w:rsid w:val="27977EDE"/>
    <w:rsid w:val="27D65541"/>
    <w:rsid w:val="27EC5FCE"/>
    <w:rsid w:val="28024EE0"/>
    <w:rsid w:val="28417461"/>
    <w:rsid w:val="284A4107"/>
    <w:rsid w:val="28514B45"/>
    <w:rsid w:val="28671C46"/>
    <w:rsid w:val="2869013D"/>
    <w:rsid w:val="287C02AE"/>
    <w:rsid w:val="28825243"/>
    <w:rsid w:val="288D20D6"/>
    <w:rsid w:val="28E70B5D"/>
    <w:rsid w:val="28EF7C18"/>
    <w:rsid w:val="28F045AC"/>
    <w:rsid w:val="29111799"/>
    <w:rsid w:val="293F7597"/>
    <w:rsid w:val="2943069F"/>
    <w:rsid w:val="29572CC9"/>
    <w:rsid w:val="297E0E5E"/>
    <w:rsid w:val="29876AEF"/>
    <w:rsid w:val="299715A4"/>
    <w:rsid w:val="29D60A95"/>
    <w:rsid w:val="29D968F2"/>
    <w:rsid w:val="2A240B36"/>
    <w:rsid w:val="2A2D73EC"/>
    <w:rsid w:val="2A9D3339"/>
    <w:rsid w:val="2AA369DD"/>
    <w:rsid w:val="2ACD3A4B"/>
    <w:rsid w:val="2BB734AB"/>
    <w:rsid w:val="2BD376AF"/>
    <w:rsid w:val="2C1B7D41"/>
    <w:rsid w:val="2C2466CA"/>
    <w:rsid w:val="2C7E0327"/>
    <w:rsid w:val="2CC81FA6"/>
    <w:rsid w:val="2CCE6BC5"/>
    <w:rsid w:val="2CF06E1D"/>
    <w:rsid w:val="2D157C39"/>
    <w:rsid w:val="2D860097"/>
    <w:rsid w:val="2D994F13"/>
    <w:rsid w:val="2D9A1978"/>
    <w:rsid w:val="2DCC158E"/>
    <w:rsid w:val="2E106E4C"/>
    <w:rsid w:val="2E3A3425"/>
    <w:rsid w:val="2E5E508C"/>
    <w:rsid w:val="2E7F52E5"/>
    <w:rsid w:val="2E9F621B"/>
    <w:rsid w:val="2EA57014"/>
    <w:rsid w:val="2EC16714"/>
    <w:rsid w:val="2EFA1C73"/>
    <w:rsid w:val="2F2B12A9"/>
    <w:rsid w:val="2F3F5B09"/>
    <w:rsid w:val="2F680744"/>
    <w:rsid w:val="2F6E6454"/>
    <w:rsid w:val="2F731060"/>
    <w:rsid w:val="2F8124F8"/>
    <w:rsid w:val="2FAB72D0"/>
    <w:rsid w:val="2FB8303D"/>
    <w:rsid w:val="2FC73BC7"/>
    <w:rsid w:val="2FDB254D"/>
    <w:rsid w:val="2FE5590A"/>
    <w:rsid w:val="30160ACC"/>
    <w:rsid w:val="307045FF"/>
    <w:rsid w:val="307831AE"/>
    <w:rsid w:val="30792CCF"/>
    <w:rsid w:val="308101E0"/>
    <w:rsid w:val="30944718"/>
    <w:rsid w:val="317812C7"/>
    <w:rsid w:val="319949BC"/>
    <w:rsid w:val="31B9498A"/>
    <w:rsid w:val="31E62269"/>
    <w:rsid w:val="31FF389A"/>
    <w:rsid w:val="320C562E"/>
    <w:rsid w:val="3218181F"/>
    <w:rsid w:val="32224F6F"/>
    <w:rsid w:val="325C49CB"/>
    <w:rsid w:val="3272661A"/>
    <w:rsid w:val="327A1E1C"/>
    <w:rsid w:val="32AC322C"/>
    <w:rsid w:val="32DC7B67"/>
    <w:rsid w:val="32EB00B2"/>
    <w:rsid w:val="32EF4370"/>
    <w:rsid w:val="33106E3B"/>
    <w:rsid w:val="33246706"/>
    <w:rsid w:val="336504AA"/>
    <w:rsid w:val="338D6495"/>
    <w:rsid w:val="33A0623B"/>
    <w:rsid w:val="33D846D5"/>
    <w:rsid w:val="33F40509"/>
    <w:rsid w:val="341F63FB"/>
    <w:rsid w:val="342A5256"/>
    <w:rsid w:val="344762FD"/>
    <w:rsid w:val="344B35F8"/>
    <w:rsid w:val="349857D1"/>
    <w:rsid w:val="34B464B0"/>
    <w:rsid w:val="34BF6361"/>
    <w:rsid w:val="34E212A0"/>
    <w:rsid w:val="34E84524"/>
    <w:rsid w:val="34EF13EE"/>
    <w:rsid w:val="350160CA"/>
    <w:rsid w:val="350D3EAF"/>
    <w:rsid w:val="350E483C"/>
    <w:rsid w:val="35175003"/>
    <w:rsid w:val="351777B5"/>
    <w:rsid w:val="35290A77"/>
    <w:rsid w:val="353C3994"/>
    <w:rsid w:val="35575A6C"/>
    <w:rsid w:val="356A601B"/>
    <w:rsid w:val="35D57307"/>
    <w:rsid w:val="36225127"/>
    <w:rsid w:val="36237E20"/>
    <w:rsid w:val="3650593D"/>
    <w:rsid w:val="36995A1D"/>
    <w:rsid w:val="36EB5C59"/>
    <w:rsid w:val="370547F4"/>
    <w:rsid w:val="37184E5E"/>
    <w:rsid w:val="373B4DAF"/>
    <w:rsid w:val="376C5D00"/>
    <w:rsid w:val="377F4E51"/>
    <w:rsid w:val="38021B03"/>
    <w:rsid w:val="382523BD"/>
    <w:rsid w:val="387455FA"/>
    <w:rsid w:val="38BF28AA"/>
    <w:rsid w:val="38D33EE0"/>
    <w:rsid w:val="394300B5"/>
    <w:rsid w:val="39C9557A"/>
    <w:rsid w:val="39D3500A"/>
    <w:rsid w:val="39E55169"/>
    <w:rsid w:val="39F10BBA"/>
    <w:rsid w:val="3A02103F"/>
    <w:rsid w:val="3A907561"/>
    <w:rsid w:val="3AA02CE4"/>
    <w:rsid w:val="3AB8281F"/>
    <w:rsid w:val="3AD1508C"/>
    <w:rsid w:val="3AD31906"/>
    <w:rsid w:val="3AE55A2B"/>
    <w:rsid w:val="3AFF4416"/>
    <w:rsid w:val="3B3426D6"/>
    <w:rsid w:val="3B5410CF"/>
    <w:rsid w:val="3B61770F"/>
    <w:rsid w:val="3B8553BD"/>
    <w:rsid w:val="3BA606D6"/>
    <w:rsid w:val="3BEE403C"/>
    <w:rsid w:val="3C2657B0"/>
    <w:rsid w:val="3C55385D"/>
    <w:rsid w:val="3C8A7DDC"/>
    <w:rsid w:val="3CA65042"/>
    <w:rsid w:val="3CBD75BF"/>
    <w:rsid w:val="3CD63DC8"/>
    <w:rsid w:val="3CD90520"/>
    <w:rsid w:val="3D011447"/>
    <w:rsid w:val="3D4628ED"/>
    <w:rsid w:val="3D47068D"/>
    <w:rsid w:val="3D555673"/>
    <w:rsid w:val="3D6D2D6A"/>
    <w:rsid w:val="3D876DDA"/>
    <w:rsid w:val="3DB8028D"/>
    <w:rsid w:val="3DC272D3"/>
    <w:rsid w:val="3DF55B8D"/>
    <w:rsid w:val="3E2818E7"/>
    <w:rsid w:val="3E320B89"/>
    <w:rsid w:val="3E8331F5"/>
    <w:rsid w:val="3E9E3E34"/>
    <w:rsid w:val="3EB62B9B"/>
    <w:rsid w:val="3EC6011E"/>
    <w:rsid w:val="3EEA4E11"/>
    <w:rsid w:val="3EF0155E"/>
    <w:rsid w:val="3EF13BC7"/>
    <w:rsid w:val="3EF8002C"/>
    <w:rsid w:val="3F247660"/>
    <w:rsid w:val="3F3623A6"/>
    <w:rsid w:val="3F7C4A83"/>
    <w:rsid w:val="3F7F1BBA"/>
    <w:rsid w:val="3FB137E9"/>
    <w:rsid w:val="3FF84C6C"/>
    <w:rsid w:val="40152803"/>
    <w:rsid w:val="404B55D6"/>
    <w:rsid w:val="405F1A6C"/>
    <w:rsid w:val="40630867"/>
    <w:rsid w:val="406C0698"/>
    <w:rsid w:val="40AF0485"/>
    <w:rsid w:val="40D34024"/>
    <w:rsid w:val="41275C6B"/>
    <w:rsid w:val="41366B89"/>
    <w:rsid w:val="417029BE"/>
    <w:rsid w:val="41771599"/>
    <w:rsid w:val="41851C58"/>
    <w:rsid w:val="4201758B"/>
    <w:rsid w:val="420558C2"/>
    <w:rsid w:val="42FF71DC"/>
    <w:rsid w:val="436E1360"/>
    <w:rsid w:val="4395576F"/>
    <w:rsid w:val="43BD5DE5"/>
    <w:rsid w:val="43E24130"/>
    <w:rsid w:val="43F771B5"/>
    <w:rsid w:val="441402E6"/>
    <w:rsid w:val="444D54BA"/>
    <w:rsid w:val="44A7496E"/>
    <w:rsid w:val="44B36E39"/>
    <w:rsid w:val="44CD29F0"/>
    <w:rsid w:val="44EC7013"/>
    <w:rsid w:val="45427AA4"/>
    <w:rsid w:val="45543CFF"/>
    <w:rsid w:val="455B6233"/>
    <w:rsid w:val="45D93D4C"/>
    <w:rsid w:val="45F92F9E"/>
    <w:rsid w:val="46032CFE"/>
    <w:rsid w:val="4623211C"/>
    <w:rsid w:val="467A1B1A"/>
    <w:rsid w:val="46A9603F"/>
    <w:rsid w:val="46F43807"/>
    <w:rsid w:val="46F63E3C"/>
    <w:rsid w:val="47085C3E"/>
    <w:rsid w:val="47F4219A"/>
    <w:rsid w:val="48153BEB"/>
    <w:rsid w:val="48537C3E"/>
    <w:rsid w:val="485E0861"/>
    <w:rsid w:val="48691698"/>
    <w:rsid w:val="48813425"/>
    <w:rsid w:val="48954080"/>
    <w:rsid w:val="48B22748"/>
    <w:rsid w:val="48CB1CC0"/>
    <w:rsid w:val="490A7640"/>
    <w:rsid w:val="49363170"/>
    <w:rsid w:val="493B6E38"/>
    <w:rsid w:val="495168BA"/>
    <w:rsid w:val="49582843"/>
    <w:rsid w:val="499305D6"/>
    <w:rsid w:val="499975A6"/>
    <w:rsid w:val="49C8100A"/>
    <w:rsid w:val="4A005B68"/>
    <w:rsid w:val="4A2B1E2F"/>
    <w:rsid w:val="4A7244CA"/>
    <w:rsid w:val="4A7758D0"/>
    <w:rsid w:val="4A885CE1"/>
    <w:rsid w:val="4AE07BAB"/>
    <w:rsid w:val="4AF27EB9"/>
    <w:rsid w:val="4B206934"/>
    <w:rsid w:val="4B571928"/>
    <w:rsid w:val="4B7F36D4"/>
    <w:rsid w:val="4BAC1D9D"/>
    <w:rsid w:val="4C0A309B"/>
    <w:rsid w:val="4C183C38"/>
    <w:rsid w:val="4C232A36"/>
    <w:rsid w:val="4C315980"/>
    <w:rsid w:val="4C410B5F"/>
    <w:rsid w:val="4C46430B"/>
    <w:rsid w:val="4C6F66E5"/>
    <w:rsid w:val="4C8E370C"/>
    <w:rsid w:val="4CB8134C"/>
    <w:rsid w:val="4CBB3980"/>
    <w:rsid w:val="4CBB61B1"/>
    <w:rsid w:val="4CD362B7"/>
    <w:rsid w:val="4D45749E"/>
    <w:rsid w:val="4D562972"/>
    <w:rsid w:val="4D922FB7"/>
    <w:rsid w:val="4DF22D6C"/>
    <w:rsid w:val="4DFA799E"/>
    <w:rsid w:val="4E3E6F9A"/>
    <w:rsid w:val="4E3F7085"/>
    <w:rsid w:val="4E4A0251"/>
    <w:rsid w:val="4E597C49"/>
    <w:rsid w:val="4E993495"/>
    <w:rsid w:val="4EB2058C"/>
    <w:rsid w:val="4EE52BDF"/>
    <w:rsid w:val="4EEC7BF6"/>
    <w:rsid w:val="4F077813"/>
    <w:rsid w:val="4F1B2096"/>
    <w:rsid w:val="4F1D369F"/>
    <w:rsid w:val="4F290247"/>
    <w:rsid w:val="4F433DC8"/>
    <w:rsid w:val="4F475940"/>
    <w:rsid w:val="4F576FDB"/>
    <w:rsid w:val="4F9B4D0B"/>
    <w:rsid w:val="4FA14EEC"/>
    <w:rsid w:val="4FA2712F"/>
    <w:rsid w:val="4FAE2A65"/>
    <w:rsid w:val="4FEE581C"/>
    <w:rsid w:val="4FF77B7C"/>
    <w:rsid w:val="50197A42"/>
    <w:rsid w:val="50661099"/>
    <w:rsid w:val="507F70BE"/>
    <w:rsid w:val="508364E6"/>
    <w:rsid w:val="509537BA"/>
    <w:rsid w:val="50D77D3F"/>
    <w:rsid w:val="51286AE9"/>
    <w:rsid w:val="5173229A"/>
    <w:rsid w:val="51A87B1B"/>
    <w:rsid w:val="51B463DB"/>
    <w:rsid w:val="51BD3871"/>
    <w:rsid w:val="520F3488"/>
    <w:rsid w:val="52853336"/>
    <w:rsid w:val="52881D50"/>
    <w:rsid w:val="52B2619C"/>
    <w:rsid w:val="52B368E2"/>
    <w:rsid w:val="52D81245"/>
    <w:rsid w:val="52DE2527"/>
    <w:rsid w:val="534257EE"/>
    <w:rsid w:val="53463941"/>
    <w:rsid w:val="53707DDE"/>
    <w:rsid w:val="53B778F6"/>
    <w:rsid w:val="53D41A3B"/>
    <w:rsid w:val="53EE67E9"/>
    <w:rsid w:val="541411EB"/>
    <w:rsid w:val="54471502"/>
    <w:rsid w:val="54591CDE"/>
    <w:rsid w:val="545D1AE0"/>
    <w:rsid w:val="546F5BEC"/>
    <w:rsid w:val="5486159B"/>
    <w:rsid w:val="54A97792"/>
    <w:rsid w:val="55274423"/>
    <w:rsid w:val="5589190F"/>
    <w:rsid w:val="55D757C4"/>
    <w:rsid w:val="5652511E"/>
    <w:rsid w:val="56832D98"/>
    <w:rsid w:val="56BB6658"/>
    <w:rsid w:val="56E07C82"/>
    <w:rsid w:val="56FB2168"/>
    <w:rsid w:val="570B1AB0"/>
    <w:rsid w:val="5739320B"/>
    <w:rsid w:val="575D6D2D"/>
    <w:rsid w:val="5788376B"/>
    <w:rsid w:val="57A71F1A"/>
    <w:rsid w:val="57C568C3"/>
    <w:rsid w:val="57E61AE2"/>
    <w:rsid w:val="57EF1B86"/>
    <w:rsid w:val="58036B5E"/>
    <w:rsid w:val="58506D81"/>
    <w:rsid w:val="58510290"/>
    <w:rsid w:val="585513DF"/>
    <w:rsid w:val="585572BE"/>
    <w:rsid w:val="5857367B"/>
    <w:rsid w:val="58630C91"/>
    <w:rsid w:val="58806997"/>
    <w:rsid w:val="589B064D"/>
    <w:rsid w:val="58B9519B"/>
    <w:rsid w:val="58C64CF3"/>
    <w:rsid w:val="58CB3B78"/>
    <w:rsid w:val="592375BD"/>
    <w:rsid w:val="59C17A7E"/>
    <w:rsid w:val="5A046FEE"/>
    <w:rsid w:val="5A1E0DE5"/>
    <w:rsid w:val="5A24740C"/>
    <w:rsid w:val="5A25148A"/>
    <w:rsid w:val="5A4665FF"/>
    <w:rsid w:val="5A495F21"/>
    <w:rsid w:val="5A4A6B8D"/>
    <w:rsid w:val="5A723A0D"/>
    <w:rsid w:val="5A762255"/>
    <w:rsid w:val="5A8B5604"/>
    <w:rsid w:val="5A9D621A"/>
    <w:rsid w:val="5AAA0AA2"/>
    <w:rsid w:val="5ACF40CD"/>
    <w:rsid w:val="5AEE34FF"/>
    <w:rsid w:val="5B1C0FFF"/>
    <w:rsid w:val="5B760457"/>
    <w:rsid w:val="5BA01AAA"/>
    <w:rsid w:val="5BD637EC"/>
    <w:rsid w:val="5BDE5A43"/>
    <w:rsid w:val="5C015F30"/>
    <w:rsid w:val="5C34166A"/>
    <w:rsid w:val="5C4B46FE"/>
    <w:rsid w:val="5C6711D1"/>
    <w:rsid w:val="5C7A69B1"/>
    <w:rsid w:val="5CA756EA"/>
    <w:rsid w:val="5CC9383E"/>
    <w:rsid w:val="5CEC3203"/>
    <w:rsid w:val="5D230368"/>
    <w:rsid w:val="5D3E1E81"/>
    <w:rsid w:val="5D4123BC"/>
    <w:rsid w:val="5DF92555"/>
    <w:rsid w:val="5DFD198F"/>
    <w:rsid w:val="5E1463C6"/>
    <w:rsid w:val="5E285861"/>
    <w:rsid w:val="5E2A2989"/>
    <w:rsid w:val="5EE2701E"/>
    <w:rsid w:val="5F0A4475"/>
    <w:rsid w:val="5F7E03D7"/>
    <w:rsid w:val="5F892553"/>
    <w:rsid w:val="5FA93096"/>
    <w:rsid w:val="5FB63A50"/>
    <w:rsid w:val="5FCF67D6"/>
    <w:rsid w:val="5FF07432"/>
    <w:rsid w:val="5FF36B68"/>
    <w:rsid w:val="5FF517E2"/>
    <w:rsid w:val="5FF94643"/>
    <w:rsid w:val="603B618B"/>
    <w:rsid w:val="603F6287"/>
    <w:rsid w:val="607A4BA9"/>
    <w:rsid w:val="60A859A2"/>
    <w:rsid w:val="60D94311"/>
    <w:rsid w:val="60DB2B0C"/>
    <w:rsid w:val="60F83A81"/>
    <w:rsid w:val="612B6AD8"/>
    <w:rsid w:val="615A394A"/>
    <w:rsid w:val="61933F69"/>
    <w:rsid w:val="619A7179"/>
    <w:rsid w:val="62106F71"/>
    <w:rsid w:val="62163208"/>
    <w:rsid w:val="622E1F65"/>
    <w:rsid w:val="62411940"/>
    <w:rsid w:val="62832BDA"/>
    <w:rsid w:val="62951CF8"/>
    <w:rsid w:val="62F67597"/>
    <w:rsid w:val="62FB1D23"/>
    <w:rsid w:val="630C34D0"/>
    <w:rsid w:val="632D6D85"/>
    <w:rsid w:val="63B41836"/>
    <w:rsid w:val="63EA5541"/>
    <w:rsid w:val="63EC11DC"/>
    <w:rsid w:val="63F75B8A"/>
    <w:rsid w:val="642440D0"/>
    <w:rsid w:val="64312F66"/>
    <w:rsid w:val="647C6454"/>
    <w:rsid w:val="647F6D16"/>
    <w:rsid w:val="64822830"/>
    <w:rsid w:val="64C8510C"/>
    <w:rsid w:val="64EB1866"/>
    <w:rsid w:val="65502EF3"/>
    <w:rsid w:val="655120C2"/>
    <w:rsid w:val="65A240BE"/>
    <w:rsid w:val="65A273A9"/>
    <w:rsid w:val="65B97F33"/>
    <w:rsid w:val="65D8234F"/>
    <w:rsid w:val="65FC2771"/>
    <w:rsid w:val="66005BAB"/>
    <w:rsid w:val="662E2B27"/>
    <w:rsid w:val="6682104F"/>
    <w:rsid w:val="66A86E2D"/>
    <w:rsid w:val="66C201BF"/>
    <w:rsid w:val="66C42438"/>
    <w:rsid w:val="66F5284E"/>
    <w:rsid w:val="671943EE"/>
    <w:rsid w:val="673E3C3E"/>
    <w:rsid w:val="674E06A1"/>
    <w:rsid w:val="67576D4B"/>
    <w:rsid w:val="679D7D9D"/>
    <w:rsid w:val="67B84A87"/>
    <w:rsid w:val="67E824D2"/>
    <w:rsid w:val="67FD5E1E"/>
    <w:rsid w:val="685A52F7"/>
    <w:rsid w:val="68891665"/>
    <w:rsid w:val="68A54006"/>
    <w:rsid w:val="68D42FFF"/>
    <w:rsid w:val="68D66092"/>
    <w:rsid w:val="68E84B74"/>
    <w:rsid w:val="6914516D"/>
    <w:rsid w:val="69D9569F"/>
    <w:rsid w:val="69DB401D"/>
    <w:rsid w:val="6A3001E9"/>
    <w:rsid w:val="6A744564"/>
    <w:rsid w:val="6A757894"/>
    <w:rsid w:val="6AA35B41"/>
    <w:rsid w:val="6AB3275D"/>
    <w:rsid w:val="6B0D2C77"/>
    <w:rsid w:val="6B146E39"/>
    <w:rsid w:val="6B8E2CC8"/>
    <w:rsid w:val="6BA6445F"/>
    <w:rsid w:val="6BB554FE"/>
    <w:rsid w:val="6BC02B2A"/>
    <w:rsid w:val="6BE00EB8"/>
    <w:rsid w:val="6BF65521"/>
    <w:rsid w:val="6C1363EA"/>
    <w:rsid w:val="6C3B68E9"/>
    <w:rsid w:val="6C481EE1"/>
    <w:rsid w:val="6C4C1A7E"/>
    <w:rsid w:val="6C9803A4"/>
    <w:rsid w:val="6CD84C1C"/>
    <w:rsid w:val="6CF10A2F"/>
    <w:rsid w:val="6D073433"/>
    <w:rsid w:val="6D194476"/>
    <w:rsid w:val="6D243939"/>
    <w:rsid w:val="6D3664FC"/>
    <w:rsid w:val="6D377DBC"/>
    <w:rsid w:val="6D447778"/>
    <w:rsid w:val="6D470009"/>
    <w:rsid w:val="6D477900"/>
    <w:rsid w:val="6D84645E"/>
    <w:rsid w:val="6DA30338"/>
    <w:rsid w:val="6DF362B1"/>
    <w:rsid w:val="6E0D34FC"/>
    <w:rsid w:val="6E2607E4"/>
    <w:rsid w:val="6E295EDD"/>
    <w:rsid w:val="6E5261F1"/>
    <w:rsid w:val="6E7D48F4"/>
    <w:rsid w:val="6EA152E7"/>
    <w:rsid w:val="6EB9421F"/>
    <w:rsid w:val="6ED35FC5"/>
    <w:rsid w:val="6EDB433C"/>
    <w:rsid w:val="6EE10B05"/>
    <w:rsid w:val="6EE9415C"/>
    <w:rsid w:val="6F0472BB"/>
    <w:rsid w:val="6F09197C"/>
    <w:rsid w:val="6F5A306E"/>
    <w:rsid w:val="6F5B3B07"/>
    <w:rsid w:val="6F63215C"/>
    <w:rsid w:val="6F6C74CA"/>
    <w:rsid w:val="6F7A7501"/>
    <w:rsid w:val="6F893F72"/>
    <w:rsid w:val="6F8A4A18"/>
    <w:rsid w:val="6FA74B9D"/>
    <w:rsid w:val="6FAD5E72"/>
    <w:rsid w:val="6FB91944"/>
    <w:rsid w:val="6FCC50AE"/>
    <w:rsid w:val="6FE54985"/>
    <w:rsid w:val="7004295F"/>
    <w:rsid w:val="70C410F0"/>
    <w:rsid w:val="70E3183A"/>
    <w:rsid w:val="70F95DD4"/>
    <w:rsid w:val="71077AC2"/>
    <w:rsid w:val="712D722C"/>
    <w:rsid w:val="71462279"/>
    <w:rsid w:val="715D24FB"/>
    <w:rsid w:val="715F69B7"/>
    <w:rsid w:val="71A558E7"/>
    <w:rsid w:val="71B2246A"/>
    <w:rsid w:val="71B752EE"/>
    <w:rsid w:val="71EF7570"/>
    <w:rsid w:val="724062B5"/>
    <w:rsid w:val="724128A7"/>
    <w:rsid w:val="72700C83"/>
    <w:rsid w:val="727B7B6A"/>
    <w:rsid w:val="72E54624"/>
    <w:rsid w:val="733C1E90"/>
    <w:rsid w:val="73524061"/>
    <w:rsid w:val="735C70F8"/>
    <w:rsid w:val="736D5763"/>
    <w:rsid w:val="74044161"/>
    <w:rsid w:val="744446C4"/>
    <w:rsid w:val="744E6EF3"/>
    <w:rsid w:val="744F05D4"/>
    <w:rsid w:val="74641E1C"/>
    <w:rsid w:val="74AE3341"/>
    <w:rsid w:val="74B3111B"/>
    <w:rsid w:val="74EB30D2"/>
    <w:rsid w:val="74EE31EA"/>
    <w:rsid w:val="751D12C7"/>
    <w:rsid w:val="752774A0"/>
    <w:rsid w:val="7548033E"/>
    <w:rsid w:val="75810DBF"/>
    <w:rsid w:val="7582554A"/>
    <w:rsid w:val="75842DFC"/>
    <w:rsid w:val="759C5DA0"/>
    <w:rsid w:val="75B42C93"/>
    <w:rsid w:val="75BE0722"/>
    <w:rsid w:val="75E206DF"/>
    <w:rsid w:val="75F520B4"/>
    <w:rsid w:val="760B3D73"/>
    <w:rsid w:val="762441D9"/>
    <w:rsid w:val="764C3CA2"/>
    <w:rsid w:val="765E4AF2"/>
    <w:rsid w:val="76675EF0"/>
    <w:rsid w:val="767B2832"/>
    <w:rsid w:val="768B03E7"/>
    <w:rsid w:val="76B12A6F"/>
    <w:rsid w:val="77247924"/>
    <w:rsid w:val="7726248F"/>
    <w:rsid w:val="7760065F"/>
    <w:rsid w:val="776B42F4"/>
    <w:rsid w:val="778B7998"/>
    <w:rsid w:val="77AF43FE"/>
    <w:rsid w:val="77CA38FE"/>
    <w:rsid w:val="77D62A56"/>
    <w:rsid w:val="77E62733"/>
    <w:rsid w:val="77EB74F7"/>
    <w:rsid w:val="77F84B71"/>
    <w:rsid w:val="78293DC3"/>
    <w:rsid w:val="78417A06"/>
    <w:rsid w:val="785D218D"/>
    <w:rsid w:val="787A2F5B"/>
    <w:rsid w:val="78CB0936"/>
    <w:rsid w:val="78E35D17"/>
    <w:rsid w:val="78EF19AD"/>
    <w:rsid w:val="790C0EF7"/>
    <w:rsid w:val="7920299E"/>
    <w:rsid w:val="79307089"/>
    <w:rsid w:val="79365331"/>
    <w:rsid w:val="79453808"/>
    <w:rsid w:val="79531CC5"/>
    <w:rsid w:val="7972700B"/>
    <w:rsid w:val="79A56DCA"/>
    <w:rsid w:val="79A86542"/>
    <w:rsid w:val="79C915DE"/>
    <w:rsid w:val="7A2852AA"/>
    <w:rsid w:val="7A3A078E"/>
    <w:rsid w:val="7A550A32"/>
    <w:rsid w:val="7A601930"/>
    <w:rsid w:val="7A815E78"/>
    <w:rsid w:val="7A817A12"/>
    <w:rsid w:val="7A850292"/>
    <w:rsid w:val="7A9F5A78"/>
    <w:rsid w:val="7AC528C4"/>
    <w:rsid w:val="7B0320BB"/>
    <w:rsid w:val="7B48683A"/>
    <w:rsid w:val="7B557CBA"/>
    <w:rsid w:val="7B5622D1"/>
    <w:rsid w:val="7B755A82"/>
    <w:rsid w:val="7BA576CC"/>
    <w:rsid w:val="7BC864F5"/>
    <w:rsid w:val="7BCD7043"/>
    <w:rsid w:val="7BD77C15"/>
    <w:rsid w:val="7BE24A5F"/>
    <w:rsid w:val="7C120FB7"/>
    <w:rsid w:val="7C1C7594"/>
    <w:rsid w:val="7C330F79"/>
    <w:rsid w:val="7C6C512B"/>
    <w:rsid w:val="7C78289D"/>
    <w:rsid w:val="7C795564"/>
    <w:rsid w:val="7CCA7032"/>
    <w:rsid w:val="7CEC648C"/>
    <w:rsid w:val="7D3E1E75"/>
    <w:rsid w:val="7D5D751D"/>
    <w:rsid w:val="7DAA16F6"/>
    <w:rsid w:val="7DAC1B73"/>
    <w:rsid w:val="7E0C1718"/>
    <w:rsid w:val="7E183EEA"/>
    <w:rsid w:val="7E416C5D"/>
    <w:rsid w:val="7E437B59"/>
    <w:rsid w:val="7E7802AC"/>
    <w:rsid w:val="7E796EC2"/>
    <w:rsid w:val="7E855AE7"/>
    <w:rsid w:val="7E897687"/>
    <w:rsid w:val="7E9D718F"/>
    <w:rsid w:val="7EA4340E"/>
    <w:rsid w:val="7EC80D2A"/>
    <w:rsid w:val="7ECA60B0"/>
    <w:rsid w:val="7F684AF8"/>
    <w:rsid w:val="7F912BF1"/>
    <w:rsid w:val="7FAA79E9"/>
    <w:rsid w:val="7FB074B2"/>
    <w:rsid w:val="7FD16149"/>
    <w:rsid w:val="7FEF6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3</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2023-08-11T07:04:17Z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